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ealer-onboarding"/>
    <w:p>
      <w:pPr>
        <w:pStyle w:val="Heading1"/>
      </w:pPr>
      <w:r>
        <w:t xml:space="preserve">Dealer Onboarding</w:t>
      </w:r>
    </w:p>
    <w:p>
      <w:pPr>
        <w:pStyle w:val="FirstParagraph"/>
      </w:pPr>
      <w:r>
        <w:rPr>
          <w:b/>
          <w:bCs/>
        </w:rPr>
        <w:t xml:space="preserve">Applies to:</w:t>
      </w:r>
      <w:r>
        <w:t xml:space="preserve"> </w:t>
      </w:r>
      <w:r>
        <w:t xml:space="preserve">commercial dealers who resell the $8,950 unit and earn 25 to 16 percent on the final sale price.</w:t>
      </w:r>
      <w:r>
        <w:t xml:space="preserve"> </w:t>
      </w:r>
      <w:r>
        <w:rPr>
          <w:b/>
          <w:bCs/>
        </w:rPr>
        <w:t xml:space="preserve">Not for:</w:t>
      </w:r>
      <w:r>
        <w:t xml:space="preserve"> </w:t>
      </w:r>
      <w:r>
        <w:t xml:space="preserve">facility referral partners on the consumer unit. Different product, different terms, different program.</w:t>
      </w:r>
      <w:r>
        <w:t xml:space="preserve"> </w:t>
      </w:r>
      <w:r>
        <w:rPr>
          <w:b/>
          <w:bCs/>
        </w:rPr>
        <w:t xml:space="preserve">Built:</w:t>
      </w:r>
      <w:r>
        <w:t xml:space="preserve"> </w:t>
      </w:r>
      <w:r>
        <w:t xml:space="preserve">2026-08-19, alongside the deal registration workflows WF-40 to WF-43.</w:t>
      </w:r>
    </w:p>
    <w:p>
      <w:pPr>
        <w:pStyle w:val="BodyText"/>
      </w:pPr>
      <w:r>
        <w:rPr>
          <w:b/>
          <w:bCs/>
        </w:rPr>
        <w:t xml:space="preserve">Do this in order. Step 3 is the one whose failure is silent.</w:t>
      </w:r>
    </w:p>
    <w:p>
      <w:r>
        <w:pict>
          <v:rect style="width:0;height:1.5pt" o:hralign="center" o:hrstd="t" o:hr="t"/>
        </w:pict>
      </w:r>
    </w:p>
    <w:bookmarkStart w:id="19" w:name="why-there-is-a-form-per-dealer"/>
    <w:p>
      <w:pPr>
        <w:pStyle w:val="Heading2"/>
      </w:pPr>
      <w:r>
        <w:t xml:space="preserve">Why there is a form per dealer</w:t>
      </w:r>
    </w:p>
    <w:p>
      <w:pPr>
        <w:pStyle w:val="FirstParagraph"/>
      </w:pPr>
      <w:r>
        <w:rPr>
          <w:rStyle w:val="VerbatimChar"/>
        </w:rPr>
        <w:t xml:space="preserve">Dealer Name</w:t>
      </w:r>
      <w:r>
        <w:t xml:space="preserve"> </w:t>
      </w:r>
      <w:r>
        <w:t xml:space="preserve">is a dropdown on the registration form, because attribution that decides a $2,237 commission cannot be free text with three spellings of the same company.</w:t>
      </w:r>
    </w:p>
    <w:p>
      <w:pPr>
        <w:pStyle w:val="BodyText"/>
      </w:pPr>
      <w:r>
        <w:t xml:space="preserve">But a dropdown shows every option to whoever opens it. One shared form would let every dealer read the full roster: who else sells for Enyrgy, and by inference which territories are covered and how large the network is. That is competitive intelligence nobody would hand over on purpose.</w:t>
      </w:r>
    </w:p>
    <w:p>
      <w:pPr>
        <w:pStyle w:val="BodyText"/>
      </w:pPr>
      <w:r>
        <w:t xml:space="preserve">GoHighLevel has no hidden-field option on this form type, and its API is</w:t>
      </w:r>
      <w:r>
        <w:t xml:space="preserve"> </w:t>
      </w:r>
      <w:r>
        <w:rPr>
          <w:rStyle w:val="VerbatimChar"/>
        </w:rPr>
        <w:t xml:space="preserve">forms.readonly</w:t>
      </w:r>
      <w:r>
        <w:t xml:space="preserve">, so this cannot be automated away inside GHL. One form per dealer is the way to keep the roster private.</w:t>
      </w:r>
    </w:p>
    <w:p>
      <w:pPr>
        <w:pStyle w:val="BodyText"/>
      </w:pPr>
      <w:r>
        <w:rPr>
          <w:b/>
          <w:bCs/>
        </w:rPr>
        <w:t xml:space="preserve">The master form is a template. Never send it to anyone, and never add a real dealer name to it.</w:t>
      </w:r>
    </w:p>
    <w:p>
      <w:r>
        <w:pict>
          <v:rect style="width:0;height:1.5pt" o:hralign="center" o:hrstd="t" o:hr="t"/>
        </w:pict>
      </w:r>
    </w:p>
    <w:bookmarkEnd w:id="19"/>
    <w:bookmarkStart w:id="26" w:name="the-five-steps"/>
    <w:p>
      <w:pPr>
        <w:pStyle w:val="Heading2"/>
      </w:pPr>
      <w:r>
        <w:t xml:space="preserve">The five steps</w:t>
      </w:r>
    </w:p>
    <w:bookmarkStart w:id="20" w:name="duplicate-the-form"/>
    <w:p>
      <w:pPr>
        <w:pStyle w:val="Heading3"/>
      </w:pPr>
      <w:r>
        <w:t xml:space="preserve">1. Duplicate the form</w:t>
      </w:r>
    </w:p>
    <w:p>
      <w:pPr>
        <w:pStyle w:val="FirstParagraph"/>
      </w:pPr>
      <w:r>
        <w:t xml:space="preserve">Duplicate</w:t>
      </w:r>
      <w:r>
        <w:t xml:space="preserve"> </w:t>
      </w:r>
      <w:r>
        <w:rPr>
          <w:rStyle w:val="VerbatimChar"/>
        </w:rPr>
        <w:t xml:space="preserve">Dealer Deal Registration</w:t>
      </w:r>
      <w:r>
        <w:t xml:space="preserve"> </w:t>
      </w:r>
      <w:r>
        <w:t xml:space="preserve">and rename the copy:</w:t>
      </w:r>
    </w:p>
    <w:p>
      <w:pPr>
        <w:pStyle w:val="SourceCode"/>
      </w:pPr>
      <w:r>
        <w:rPr>
          <w:rStyle w:val="VerbatimChar"/>
        </w:rPr>
        <w:t xml:space="preserve">Dealer Registration - &lt;Dealer Company Name&gt;</w:t>
      </w:r>
    </w:p>
    <w:bookmarkEnd w:id="20"/>
    <w:bookmarkStart w:id="21" w:name="set-their-single-dropdown-option"/>
    <w:p>
      <w:pPr>
        <w:pStyle w:val="Heading3"/>
      </w:pPr>
      <w:r>
        <w:t xml:space="preserve">2. Set their single dropdown option</w:t>
      </w:r>
    </w:p>
    <w:p>
      <w:pPr>
        <w:pStyle w:val="FirstParagraph"/>
      </w:pPr>
      <w:r>
        <w:t xml:space="preserve">On the copy, open the</w:t>
      </w:r>
      <w:r>
        <w:t xml:space="preserve"> </w:t>
      </w:r>
      <w:r>
        <w:rPr>
          <w:rStyle w:val="VerbatimChar"/>
        </w:rPr>
        <w:t xml:space="preserve">Dealer Name</w:t>
      </w:r>
      <w:r>
        <w:t xml:space="preserve"> </w:t>
      </w:r>
      <w:r>
        <w:t xml:space="preserve">field. Remove</w:t>
      </w:r>
      <w:r>
        <w:t xml:space="preserve"> </w:t>
      </w:r>
      <w:r>
        <w:rPr>
          <w:rStyle w:val="VerbatimChar"/>
        </w:rPr>
        <w:t xml:space="preserve">Unassigned</w:t>
      </w:r>
      <w:r>
        <w:t xml:space="preserve">, then add one option: their company name exactly as it should appear in reporting and on commission statements.</w:t>
      </w:r>
    </w:p>
    <w:p>
      <w:pPr>
        <w:pStyle w:val="BodyText"/>
      </w:pPr>
      <w:r>
        <w:t xml:space="preserve">Their dropdown now contains one entry. They learn nothing about anyone else.</w:t>
      </w:r>
    </w:p>
    <w:bookmarkEnd w:id="21"/>
    <w:bookmarkStart w:id="22" w:name="add-the-new-form-to-wf-40s-trigger"/>
    <w:p>
      <w:pPr>
        <w:pStyle w:val="Heading3"/>
      </w:pPr>
      <w:r>
        <w:t xml:space="preserve">3. Add the new form to WF-40’s trigger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WF-40 Dealer Registration Received</w:t>
      </w:r>
      <w:r>
        <w:t xml:space="preserve">. The trigger reads</w:t>
      </w:r>
      <w:r>
        <w:t xml:space="preserve"> </w:t>
      </w:r>
      <w:r>
        <w:rPr>
          <w:rStyle w:val="VerbatimChar"/>
        </w:rPr>
        <w:t xml:space="preserve">Form is any of "..."</w:t>
      </w:r>
      <w:r>
        <w:t xml:space="preserve">. Add the new form to that list.</w:t>
      </w:r>
    </w:p>
    <w:p>
      <w:pPr>
        <w:pStyle w:val="BodyText"/>
      </w:pPr>
      <w:r>
        <w:rPr>
          <w:b/>
          <w:bCs/>
        </w:rPr>
        <w:t xml:space="preserve">This is the step that gets forgotten, and its failure is invisible.</w:t>
      </w:r>
      <w:r>
        <w:t xml:space="preserve"> </w:t>
      </w:r>
      <w:r>
        <w:t xml:space="preserve">Without it the dealer submits, an opportunity appears in</w:t>
      </w:r>
      <w:r>
        <w:t xml:space="preserve"> </w:t>
      </w:r>
      <w:r>
        <w:rPr>
          <w:rStyle w:val="VerbatimChar"/>
        </w:rPr>
        <w:t xml:space="preserve">Registration Submitted</w:t>
      </w:r>
      <w:r>
        <w:t xml:space="preserve">, and nothing else happens: no tag, no</w:t>
      </w:r>
      <w:r>
        <w:t xml:space="preserve"> </w:t>
      </w:r>
      <w:r>
        <w:rPr>
          <w:rStyle w:val="VerbatimChar"/>
        </w:rPr>
        <w:t xml:space="preserve">Source Type</w:t>
      </w:r>
      <w:r>
        <w:t xml:space="preserve">, no alert to Scott. It sits there looking like a real deal until somebody notices the registration nobody actioned.</w:t>
      </w:r>
    </w:p>
    <w:p>
      <w:pPr>
        <w:pStyle w:val="BodyText"/>
      </w:pPr>
      <w:r>
        <w:t xml:space="preserve">Two consequences follow. The facility is not protected from consumer drip, because the</w:t>
      </w:r>
      <w:r>
        <w:t xml:space="preserve"> </w:t>
      </w:r>
      <w:r>
        <w:rPr>
          <w:rStyle w:val="VerbatimChar"/>
        </w:rPr>
        <w:t xml:space="preserve">no_route</w:t>
      </w:r>
      <w:r>
        <w:t xml:space="preserve"> </w:t>
      </w:r>
      <w:r>
        <w:t xml:space="preserve">tag never lands. And the dealer believes they hold a claim they do not have.</w:t>
      </w:r>
    </w:p>
    <w:bookmarkEnd w:id="22"/>
    <w:bookmarkStart w:id="23" w:name="collect-the-right-tax-form"/>
    <w:p>
      <w:pPr>
        <w:pStyle w:val="Heading3"/>
      </w:pPr>
      <w:r>
        <w:t xml:space="preserve">4. Collect the right tax form</w:t>
      </w:r>
    </w:p>
    <w:p>
      <w:pPr>
        <w:pStyle w:val="FirstParagraph"/>
      </w:pPr>
      <w:r>
        <w:t xml:space="preserve">US dealers need a</w:t>
      </w:r>
      <w:r>
        <w:t xml:space="preserve"> </w:t>
      </w:r>
      <w:r>
        <w:rPr>
          <w:b/>
          <w:bCs/>
        </w:rPr>
        <w:t xml:space="preserve">W-9</w:t>
      </w:r>
      <w:r>
        <w:t xml:space="preserve">. Non-US dealers need a</w:t>
      </w:r>
      <w:r>
        <w:t xml:space="preserve"> </w:t>
      </w:r>
      <w:r>
        <w:rPr>
          <w:b/>
          <w:bCs/>
        </w:rPr>
        <w:t xml:space="preserve">W-8BEN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W-8BEN-E</w:t>
      </w:r>
      <w:r>
        <w:t xml:space="preserve"> </w:t>
      </w:r>
      <w:r>
        <w:t xml:space="preserve">depending on entity type, and treaty status may bring withholding into play.</w:t>
      </w:r>
    </w:p>
    <w:p>
      <w:pPr>
        <w:pStyle w:val="BodyText"/>
      </w:pPr>
      <w:r>
        <w:t xml:space="preserve">Determine residency first, then request the matching form. Collect it at onboarding, not in January.</w:t>
      </w:r>
    </w:p>
    <w:p>
      <w:pPr>
        <w:pStyle w:val="BodyText"/>
      </w:pPr>
      <w:r>
        <w:t xml:space="preserve">Every dealer clears the US $600 reporting threshold on their first sale, several times over, so there is no volume below which this can be skipped.</w:t>
      </w:r>
    </w:p>
    <w:bookmarkEnd w:id="23"/>
    <w:bookmarkStart w:id="24" w:name="b.-the-w-9-request-email"/>
    <w:p>
      <w:pPr>
        <w:pStyle w:val="Heading3"/>
      </w:pPr>
      <w:r>
        <w:t xml:space="preserve">4b. The W-9 request email</w:t>
      </w:r>
    </w:p>
    <w:p>
      <w:pPr>
        <w:pStyle w:val="FirstParagraph"/>
      </w:pPr>
      <w:r>
        <w:t xml:space="preserve">Template. Replace the bracketed fields.</w:t>
      </w:r>
      <w:r>
        <w:t xml:space="preserve"> </w:t>
      </w:r>
      <w:r>
        <w:rPr>
          <w:b/>
          <w:bCs/>
        </w:rPr>
        <w:t xml:space="preserve">Send it before the registration link</w:t>
      </w:r>
      <w:r>
        <w:t xml:space="preserve">, not after: a dealer who has their link and is already working is much harder to chase for paperwork than one who is waiting on it.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One piece of paperwork before we switch you on</w:t>
      </w:r>
    </w:p>
    <w:p>
      <w:pPr>
        <w:pStyle w:val="SourceCode"/>
      </w:pPr>
      <w:r>
        <w:rPr>
          <w:rStyle w:val="VerbatimChar"/>
        </w:rPr>
        <w:t xml:space="preserve">[First name],</w:t>
      </w:r>
      <w:r>
        <w:br/>
      </w:r>
      <w:r>
        <w:br/>
      </w:r>
      <w:r>
        <w:rPr>
          <w:rStyle w:val="VerbatimChar"/>
        </w:rPr>
        <w:t xml:space="preserve">Good to have you on board.</w:t>
      </w:r>
      <w:r>
        <w:br/>
      </w:r>
      <w:r>
        <w:br/>
      </w:r>
      <w:r>
        <w:rPr>
          <w:rStyle w:val="VerbatimChar"/>
        </w:rPr>
        <w:t xml:space="preserve">One administrative thing before we can process commissions. I need a completed W-9 from [Dealer Company Name]. It is the standard IRS form for reporting commission payments, and we cannot pay against a sale without one on file.</w:t>
      </w:r>
      <w:r>
        <w:br/>
      </w:r>
      <w:r>
        <w:br/>
      </w:r>
      <w:r>
        <w:rPr>
          <w:rStyle w:val="VerbatimChar"/>
        </w:rPr>
        <w:t xml:space="preserve">If you need a blank, the current form is here: https://www.irs.gov/pub/irs-pdf/fw9.pdf</w:t>
      </w:r>
      <w:r>
        <w:br/>
      </w:r>
      <w:r>
        <w:br/>
      </w:r>
      <w:r>
        <w:rPr>
          <w:rStyle w:val="VerbatimChar"/>
        </w:rPr>
        <w:t xml:space="preserve">Send it back to me directly at [Scott's address] rather than to a general inbox. It carries your EIN and I would rather it went to one person than sat in a shared mailbox.</w:t>
      </w:r>
      <w:r>
        <w:br/>
      </w:r>
      <w:r>
        <w:br/>
      </w:r>
      <w:r>
        <w:rPr>
          <w:rStyle w:val="VerbatimChar"/>
        </w:rPr>
        <w:t xml:space="preserve">As soon as it is in, I will send your registration link and you are live.</w:t>
      </w:r>
    </w:p>
    <w:p>
      <w:pPr>
        <w:pStyle w:val="FirstParagraph"/>
      </w:pPr>
      <w:r>
        <w:rPr>
          <w:b/>
          <w:bCs/>
        </w:rPr>
        <w:t xml:space="preserve">Non-US dealers get a W-8BEN or W-8BEN-E instead.</w:t>
      </w:r>
      <w:r>
        <w:t xml:space="preserve"> </w:t>
      </w:r>
      <w:r>
        <w:t xml:space="preserve">Same email, swap the form and drop the IRS link, which is US-specific.</w:t>
      </w:r>
    </w:p>
    <w:p>
      <w:pPr>
        <w:pStyle w:val="BodyText"/>
      </w:pPr>
      <w:r>
        <w:rPr>
          <w:b/>
          <w:bCs/>
        </w:rPr>
        <w:t xml:space="preserve">On where it goes.</w:t>
      </w:r>
      <w:r>
        <w:t xml:space="preserve"> </w:t>
      </w:r>
      <w:r>
        <w:t xml:space="preserve">A W-9 carries a taxpayer identification number. Do not route it to</w:t>
      </w:r>
      <w:r>
        <w:t xml:space="preserve"> </w:t>
      </w:r>
      <w:r>
        <w:rPr>
          <w:rStyle w:val="VerbatimChar"/>
        </w:rPr>
        <w:t xml:space="preserve">contact@enyrgy.com</w:t>
      </w:r>
      <w:r>
        <w:t xml:space="preserve"> </w:t>
      </w:r>
      <w:r>
        <w:t xml:space="preserve">or any address that staff or agents can read. It belongs with whoever holds finance records, and nowhere else.</w:t>
      </w:r>
    </w:p>
    <w:bookmarkEnd w:id="24"/>
    <w:bookmarkStart w:id="25" w:name="send-them-their-link"/>
    <w:p>
      <w:pPr>
        <w:pStyle w:val="Heading3"/>
      </w:pPr>
      <w:r>
        <w:t xml:space="preserve">5. Send them their link</w:t>
      </w:r>
    </w:p>
    <w:p>
      <w:pPr>
        <w:pStyle w:val="FirstParagraph"/>
      </w:pPr>
      <w:r>
        <w:rPr>
          <w:rStyle w:val="VerbatimChar"/>
        </w:rPr>
        <w:t xml:space="preserve">Integrate</w:t>
      </w:r>
      <w:r>
        <w:t xml:space="preserve"> </w:t>
      </w:r>
      <w:r>
        <w:t xml:space="preserve">on their copy of the form, then send that URL and nothing else. Do not send the master form link to a dealer under any circumstances.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dding-them-to-the-field-options"/>
    <w:p>
      <w:pPr>
        <w:pStyle w:val="Heading2"/>
      </w:pPr>
      <w:r>
        <w:t xml:space="preserve">Adding them to the field options</w:t>
      </w:r>
    </w:p>
    <w:p>
      <w:pPr>
        <w:pStyle w:val="FirstParagraph"/>
      </w:pPr>
      <w:r>
        <w:t xml:space="preserve">Step 2 adds the option to their form. Also add their company to the shared</w:t>
      </w:r>
      <w:r>
        <w:t xml:space="preserve"> </w:t>
      </w:r>
      <w:r>
        <w:rPr>
          <w:rStyle w:val="VerbatimChar"/>
        </w:rPr>
        <w:t xml:space="preserve">Dealer Name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Settings &gt; Custom Fields &gt; Opportunity &gt; Dealer Registration</w:t>
      </w:r>
      <w:r>
        <w:t xml:space="preserve">, so the value exists for filtering and reporting across the pipeline.</w:t>
      </w:r>
    </w:p>
    <w:p>
      <w:pPr>
        <w:pStyle w:val="BodyText"/>
      </w:pPr>
      <w:r>
        <w:t xml:space="preserve">Adding it there does not expose them, because no dealer sees that screen. What exposes them is putting the name on a form more than one dealer can open.</w:t>
      </w:r>
    </w:p>
    <w:p>
      <w:r>
        <w:pict>
          <v:rect style="width:0;height:1.5pt" o:hralign="center" o:hrstd="t" o:hr="t"/>
        </w:pict>
      </w:r>
    </w:p>
    <w:bookmarkEnd w:id="27"/>
    <w:bookmarkStart w:id="28" w:name="what-unassigned-means"/>
    <w:p>
      <w:pPr>
        <w:pStyle w:val="Heading2"/>
      </w:pPr>
      <w:r>
        <w:t xml:space="preserve">What</w:t>
      </w:r>
      <w:r>
        <w:t xml:space="preserve"> </w:t>
      </w:r>
      <w:r>
        <w:rPr>
          <w:rStyle w:val="VerbatimChar"/>
        </w:rPr>
        <w:t xml:space="preserve">Unassigned</w:t>
      </w:r>
      <w:r>
        <w:t xml:space="preserve"> </w:t>
      </w:r>
      <w:r>
        <w:t xml:space="preserve">means</w:t>
      </w:r>
    </w:p>
    <w:p>
      <w:pPr>
        <w:pStyle w:val="FirstParagraph"/>
      </w:pPr>
      <w:r>
        <w:rPr>
          <w:rStyle w:val="VerbatimChar"/>
        </w:rPr>
        <w:t xml:space="preserve">Unassigned</w:t>
      </w:r>
      <w:r>
        <w:t xml:space="preserve"> </w:t>
      </w:r>
      <w:r>
        <w:t xml:space="preserve">is not a dealer. It is the marker for a registration that lost its attribution, and it should never be selectable on a live dealer form.</w:t>
      </w:r>
    </w:p>
    <w:p>
      <w:pPr>
        <w:pStyle w:val="BodyText"/>
      </w:pPr>
      <w:r>
        <w:t xml:space="preserve">An opportunity with</w:t>
      </w:r>
      <w:r>
        <w:t xml:space="preserve"> </w:t>
      </w:r>
      <w:r>
        <w:rPr>
          <w:rStyle w:val="VerbatimChar"/>
        </w:rPr>
        <w:t xml:space="preserve">Source Type = Dealer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Dealer Name = Unassigned</w:t>
      </w:r>
      <w:r>
        <w:t xml:space="preserve"> </w:t>
      </w:r>
      <w:r>
        <w:t xml:space="preserve">is a deal nobody can be paid for. Treat any of those as a fault to investigate, not a record to leave.</w:t>
      </w:r>
    </w:p>
    <w:p>
      <w:pPr>
        <w:pStyle w:val="BodyText"/>
      </w:pPr>
      <w:r>
        <w:t xml:space="preserve">Worth a saved filter alongside the other dealer views.</w:t>
      </w:r>
    </w:p>
    <w:p>
      <w:r>
        <w:pict>
          <v:rect style="width:0;height:1.5pt" o:hralign="center" o:hrstd="t" o:hr="t"/>
        </w:pict>
      </w:r>
    </w:p>
    <w:bookmarkEnd w:id="28"/>
    <w:bookmarkStart w:id="29" w:name="offboarding"/>
    <w:p>
      <w:pPr>
        <w:pStyle w:val="Heading2"/>
      </w:pPr>
      <w:r>
        <w:t xml:space="preserve">Offboarding</w:t>
      </w:r>
    </w:p>
    <w:p>
      <w:pPr>
        <w:pStyle w:val="FirstParagraph"/>
      </w:pPr>
      <w:r>
        <w:t xml:space="preserve">When a dealer leaves, unpublish or delete their form and remove it from WF-40’s trigger list. Leave their name in the</w:t>
      </w:r>
      <w:r>
        <w:t xml:space="preserve"> </w:t>
      </w:r>
      <w:r>
        <w:rPr>
          <w:rStyle w:val="VerbatimChar"/>
        </w:rPr>
        <w:t xml:space="preserve">Dealer Name</w:t>
      </w:r>
      <w:r>
        <w:t xml:space="preserve"> </w:t>
      </w:r>
      <w:r>
        <w:t xml:space="preserve">field options, because historical opportunities reference it and removing it would orphan the attribution on deals they earned.</w:t>
      </w:r>
    </w:p>
    <w:p>
      <w:pPr>
        <w:pStyle w:val="BodyText"/>
      </w:pPr>
      <w:r>
        <w:t xml:space="preserve">Their live registrations keep running their 90 day clocks. Decide deliberately whether to release those early, and tell them either way.</w:t>
      </w:r>
    </w:p>
    <w:p>
      <w:r>
        <w:pict>
          <v:rect style="width:0;height:1.5pt" o:hralign="center" o:hrstd="t" o:hr="t"/>
        </w:pict>
      </w:r>
    </w:p>
    <w:bookmarkEnd w:id="29"/>
    <w:bookmarkStart w:id="30" w:name="change-log-2026-08-19"/>
    <w:p>
      <w:pPr>
        <w:pStyle w:val="Heading2"/>
      </w:pPr>
      <w:r>
        <w:t xml:space="preserve">Change log, 2026-08-19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Created alongside the WF-40 to WF-43 deal registration build</w:t>
            </w:r>
          </w:p>
        </w:tc>
      </w:tr>
    </w:tbl>
    <w:bookmarkEnd w:id="30"/>
    <w:bookmarkStart w:id="31" w:name="why-this-document-exists"/>
    <w:p>
      <w:pPr>
        <w:pStyle w:val="Heading2"/>
      </w:pPr>
      <w:r>
        <w:t xml:space="preserve">Why this document exists</w:t>
      </w:r>
    </w:p>
    <w:p>
      <w:pPr>
        <w:pStyle w:val="FirstParagraph"/>
      </w:pPr>
      <w:r>
        <w:t xml:space="preserve">Everything else in the registration system lives in GoHighLevel and enforces itself. This part does not. It is a sequence somebody has to follow correctly at a moment months from now, when the obvious action is the wrong one: adding a second name to the form that already works.</w:t>
      </w:r>
    </w:p>
    <w:p>
      <w:pPr>
        <w:pStyle w:val="BodyText"/>
      </w:pPr>
      <w:r>
        <w:t xml:space="preserve">The whole document exists to prevent that one mistake, and to make step 3 hard to skip.</w:t>
      </w:r>
    </w:p>
    <w:bookmarkEnd w:id="31"/>
    <w:bookmarkEnd w:id="32"/>
    <w:sectPr w:rsidR="00656573">
      <w:headerReference r:id="rId9" w:type="default"/>
      <w:footerReference r:id="rId10" w:type="defaul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8A0D4" w14:textId="77777777" w:rsidR="00656573" w:rsidRDefault="00000000">
    <w:pPr>
      <w:pBdr>
        <w:top w:val="single" w:sz="4" w:space="1" w:color="CCCCCC"/>
      </w:pBdr>
      <w:jc w:val="center"/>
    </w:pPr>
    <w:r>
      <w:rPr>
        <w:rFonts w:ascii="Montserrat" w:eastAsia="Montserrat" w:hAnsi="Montserrat" w:cs="Montserrat"/>
        <w:color w:val="888888"/>
        <w:sz w:val="16"/>
        <w:szCs w:val="16"/>
      </w:rPr>
      <w:t xml:space="preserve">Enyrgy </w:t>
    </w:r>
    <w:proofErr w:type="gramStart"/>
    <w:r>
      <w:rPr>
        <w:rFonts w:ascii="Montserrat" w:eastAsia="Montserrat" w:hAnsi="Montserrat" w:cs="Montserrat"/>
        <w:color w:val="888888"/>
        <w:sz w:val="16"/>
        <w:szCs w:val="16"/>
      </w:rPr>
      <w:t>Inc  ·</w:t>
    </w:r>
    <w:proofErr w:type="gramEnd"/>
    <w:r>
      <w:rPr>
        <w:rFonts w:ascii="Montserrat" w:eastAsia="Montserrat" w:hAnsi="Montserrat" w:cs="Montserrat"/>
        <w:color w:val="888888"/>
        <w:sz w:val="16"/>
        <w:szCs w:val="16"/>
      </w:rPr>
      <w:t xml:space="preserve">  Phoenix, </w:t>
    </w:r>
    <w:proofErr w:type="gramStart"/>
    <w:r>
      <w:rPr>
        <w:rFonts w:ascii="Montserrat" w:eastAsia="Montserrat" w:hAnsi="Montserrat" w:cs="Montserrat"/>
        <w:color w:val="888888"/>
        <w:sz w:val="16"/>
        <w:szCs w:val="16"/>
      </w:rPr>
      <w:t>AZ  ·</w:t>
    </w:r>
    <w:proofErr w:type="gramEnd"/>
    <w:r>
      <w:rPr>
        <w:rFonts w:ascii="Montserrat" w:eastAsia="Montserrat" w:hAnsi="Montserrat" w:cs="Montserrat"/>
        <w:color w:val="888888"/>
        <w:sz w:val="16"/>
        <w:szCs w:val="16"/>
      </w:rPr>
      <w:t xml:space="preserve">  </w:t>
    </w:r>
    <w:proofErr w:type="gramStart"/>
    <w:r>
      <w:rPr>
        <w:rFonts w:ascii="Montserrat" w:eastAsia="Montserrat" w:hAnsi="Montserrat" w:cs="Montserrat"/>
        <w:color w:val="888888"/>
        <w:sz w:val="16"/>
        <w:szCs w:val="16"/>
      </w:rPr>
      <w:t>enyrgy.com  ·</w:t>
    </w:r>
    <w:proofErr w:type="gramEnd"/>
    <w:r>
      <w:rPr>
        <w:rFonts w:ascii="Montserrat" w:eastAsia="Montserrat" w:hAnsi="Montserrat" w:cs="Montserrat"/>
        <w:color w:val="888888"/>
        <w:sz w:val="16"/>
        <w:szCs w:val="16"/>
      </w:rPr>
      <w:t xml:space="preserve">  Sunlight. Evolved.  </w:t>
    </w:r>
    <w:proofErr w:type="gramStart"/>
    <w:r>
      <w:rPr>
        <w:rFonts w:ascii="Montserrat" w:eastAsia="Montserrat" w:hAnsi="Montserrat" w:cs="Montserrat"/>
        <w:color w:val="888888"/>
        <w:sz w:val="16"/>
        <w:szCs w:val="16"/>
      </w:rPr>
      <w:t>·  Page</w:t>
    </w:r>
    <w:proofErr w:type="gramEnd"/>
    <w:r>
      <w:rPr>
        <w:rFonts w:ascii="Montserrat" w:eastAsia="Montserrat" w:hAnsi="Montserrat" w:cs="Montserrat"/>
        <w:color w:val="888888"/>
        <w:sz w:val="16"/>
        <w:szCs w:val="16"/>
      </w:rPr>
      <w:t xml:space="preserve"> </w:t>
    </w:r>
    <w:r>
      <w:rPr>
        <w:rFonts w:ascii="Montserrat" w:eastAsia="Montserrat" w:hAnsi="Montserrat" w:cs="Montserrat"/>
        <w:color w:val="888888"/>
        <w:sz w:val="16"/>
        <w:szCs w:val="16"/>
      </w:rPr>
      <w:fldChar w:fldCharType="begin"/>
    </w:r>
    <w:r>
      <w:rPr>
        <w:rFonts w:ascii="Montserrat" w:eastAsia="Montserrat" w:hAnsi="Montserrat" w:cs="Montserrat"/>
        <w:color w:val="888888"/>
        <w:sz w:val="16"/>
        <w:szCs w:val="16"/>
      </w:rPr>
      <w:instrText>PAGE</w:instrText>
    </w:r>
    <w:r>
      <w:rPr>
        <w:rFonts w:ascii="Montserrat" w:eastAsia="Montserrat" w:hAnsi="Montserrat" w:cs="Montserrat"/>
        <w:color w:val="888888"/>
        <w:sz w:val="16"/>
        <w:szCs w:val="16"/>
      </w:rPr>
      <w:fldChar w:fldCharType="separate"/>
    </w:r>
    <w:r w:rsidR="005704A3">
      <w:rPr>
        <w:rFonts w:ascii="Montserrat" w:eastAsia="Montserrat" w:hAnsi="Montserrat" w:cs="Montserrat"/>
        <w:noProof/>
        <w:color w:val="888888"/>
        <w:sz w:val="16"/>
        <w:szCs w:val="16"/>
      </w:rPr>
      <w:t>8</w:t>
    </w:r>
    <w:r>
      <w:rPr>
        <w:rFonts w:ascii="Montserrat" w:eastAsia="Montserrat" w:hAnsi="Montserrat" w:cs="Montserrat"/>
        <w:color w:val="888888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318D6F" w14:textId="77777777" w:rsidR="00656573" w:rsidRDefault="00000000">
    <w:pPr>
      <w:pBdr>
        <w:bottom w:val="single" w:sz="4" w:space="1" w:color="E64C38"/>
      </w:pBdr>
    </w:pPr>
    <w:r>
      <w:rPr>
        <w:rFonts w:ascii="Montserrat" w:eastAsia="Montserrat" w:hAnsi="Montserrat" w:cs="Montserrat"/>
        <w:b/>
        <w:bCs/>
        <w:color w:val="E64C38"/>
        <w:sz w:val="18"/>
        <w:szCs w:val="18"/>
      </w:rPr>
      <w:t xml:space="preserve">ENYRGY | dealer-onboarding </w:t>
    </w:r>
    <w:proofErr w:type="gramStart"/>
    <w:r>
      <w:rPr>
        <w:rFonts w:ascii="Montserrat" w:eastAsia="Montserrat" w:hAnsi="Montserrat" w:cs="Montserrat"/>
        <w:b/>
        <w:bCs/>
        <w:color w:val="E64C38"/>
        <w:sz w:val="18"/>
        <w:szCs w:val="18"/>
      </w:rPr>
      <w:t xml:space="preserve">  </w:t>
    </w:r>
    <w:r>
      <w:rPr>
        <w:rFonts w:ascii="Montserrat" w:eastAsia="Montserrat" w:hAnsi="Montserrat" w:cs="Montserrat"/>
        <w:color w:val="999999"/>
        <w:sz w:val="18"/>
        <w:szCs w:val="18"/>
      </w:rPr>
      <w:t>CONFIDENTIAL</w:t>
    </w:r>
    <w:proofErr w:type="gramEnd"/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EA454B4C"/>
    <w:multiLevelType w:val="multilevel"/>
    <w:tmpl w:val="BDE24088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–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•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2C1AE401"/>
    <w:multiLevelType w:val="multilevel"/>
    <w:tmpl w:val="07FA751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2">
    <w:nsid w:val="47261BAD"/>
    <w:multiLevelType w:val="multilevel"/>
    <w:tmpl w:val="8ECE1826"/>
    <w:lvl w:ilvl="0">
      <w:start w:val="7"/>
      <w:numFmt w:val="decimal"/>
      <w:lvlText w:val="%1."/>
      <w:lvlJc w:val="left"/>
      <w:pPr>
        <w:tabs>
          <w:tab w:pos="0" w:val="num"/>
        </w:tabs>
        <w:ind w:hanging="480" w:left="480"/>
      </w:pPr>
    </w:lvl>
    <w:lvl w:ilvl="1">
      <w:start w:val="7"/>
      <w:numFmt w:val="decimal"/>
      <w:lvlText w:val="%2."/>
      <w:lvlJc w:val="left"/>
      <w:pPr>
        <w:tabs>
          <w:tab w:pos="720" w:val="num"/>
        </w:tabs>
        <w:ind w:hanging="480" w:left="1200"/>
      </w:pPr>
    </w:lvl>
    <w:lvl w:ilvl="2">
      <w:start w:val="7"/>
      <w:numFmt w:val="decimal"/>
      <w:lvlText w:val="%3."/>
      <w:lvlJc w:val="left"/>
      <w:pPr>
        <w:tabs>
          <w:tab w:pos="1440" w:val="num"/>
        </w:tabs>
        <w:ind w:hanging="480" w:left="1920"/>
      </w:pPr>
    </w:lvl>
    <w:lvl w:ilvl="3">
      <w:start w:val="7"/>
      <w:numFmt w:val="decimal"/>
      <w:lvlText w:val="%4."/>
      <w:lvlJc w:val="left"/>
      <w:pPr>
        <w:tabs>
          <w:tab w:pos="2160" w:val="num"/>
        </w:tabs>
        <w:ind w:hanging="480" w:left="2640"/>
      </w:pPr>
    </w:lvl>
    <w:lvl w:ilvl="4">
      <w:start w:val="7"/>
      <w:numFmt w:val="decimal"/>
      <w:lvlText w:val="%5."/>
      <w:lvlJc w:val="left"/>
      <w:pPr>
        <w:tabs>
          <w:tab w:pos="2880" w:val="num"/>
        </w:tabs>
        <w:ind w:hanging="480" w:left="3360"/>
      </w:pPr>
    </w:lvl>
    <w:lvl w:ilvl="5">
      <w:start w:val="7"/>
      <w:numFmt w:val="decimal"/>
      <w:lvlText w:val="%6."/>
      <w:lvlJc w:val="left"/>
      <w:pPr>
        <w:tabs>
          <w:tab w:pos="3600" w:val="num"/>
        </w:tabs>
        <w:ind w:hanging="480" w:left="4080"/>
      </w:pPr>
    </w:lvl>
    <w:lvl w:ilvl="6">
      <w:start w:val="7"/>
      <w:numFmt w:val="decimal"/>
      <w:lvlText w:val="%7."/>
      <w:lvlJc w:val="left"/>
      <w:pPr>
        <w:tabs>
          <w:tab w:pos="4320" w:val="num"/>
        </w:tabs>
        <w:ind w:hanging="480" w:left="4800"/>
      </w:pPr>
    </w:lvl>
    <w:lvl w:ilvl="7">
      <w:start w:val="7"/>
      <w:numFmt w:val="decimal"/>
      <w:lvlText w:val="%8."/>
      <w:lvlJc w:val="left"/>
      <w:pPr>
        <w:tabs>
          <w:tab w:pos="5040" w:val="num"/>
        </w:tabs>
        <w:ind w:hanging="480" w:left="5520"/>
      </w:pPr>
    </w:lvl>
    <w:lvl w:ilvl="8">
      <w:start w:val="7"/>
      <w:numFmt w:val="decimal"/>
      <w:lvlText w:val="%9.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3">
    <w:nsid w:val="71315DCA"/>
    <w:multiLevelType w:val="multilevel"/>
    <w:tmpl w:val="8F1A713C"/>
    <w:lvl w:ilvl="0">
      <w:start w:val="1"/>
      <w:numFmt w:val="decimal"/>
      <w:lvlText w:val="%1."/>
      <w:lvlJc w:val="left"/>
      <w:pPr>
        <w:tabs>
          <w:tab w:pos="0" w:val="num"/>
        </w:tabs>
        <w:ind w:hanging="480" w:left="480"/>
      </w:pPr>
    </w:lvl>
    <w:lvl w:ilvl="1">
      <w:start w:val="1"/>
      <w:numFmt w:val="decimal"/>
      <w:lvlText w:val="%2."/>
      <w:lvlJc w:val="left"/>
      <w:pPr>
        <w:tabs>
          <w:tab w:pos="720" w:val="num"/>
        </w:tabs>
        <w:ind w:hanging="480" w:left="1200"/>
      </w:pPr>
    </w:lvl>
    <w:lvl w:ilvl="2">
      <w:start w:val="1"/>
      <w:numFmt w:val="decimal"/>
      <w:lvlText w:val="%3."/>
      <w:lvlJc w:val="left"/>
      <w:pPr>
        <w:tabs>
          <w:tab w:pos="1440" w:val="num"/>
        </w:tabs>
        <w:ind w:hanging="480" w:left="1920"/>
      </w:pPr>
    </w:lvl>
    <w:lvl w:ilvl="3">
      <w:start w:val="1"/>
      <w:numFmt w:val="decimal"/>
      <w:lvlText w:val="%4."/>
      <w:lvlJc w:val="left"/>
      <w:pPr>
        <w:tabs>
          <w:tab w:pos="2160" w:val="num"/>
        </w:tabs>
        <w:ind w:hanging="480" w:left="2640"/>
      </w:pPr>
    </w:lvl>
    <w:lvl w:ilvl="4">
      <w:start w:val="1"/>
      <w:numFmt w:val="decimal"/>
      <w:lvlText w:val="%5."/>
      <w:lvlJc w:val="left"/>
      <w:pPr>
        <w:tabs>
          <w:tab w:pos="2880" w:val="num"/>
        </w:tabs>
        <w:ind w:hanging="480" w:left="3360"/>
      </w:pPr>
    </w:lvl>
    <w:lvl w:ilvl="5">
      <w:start w:val="1"/>
      <w:numFmt w:val="decimal"/>
      <w:lvlText w:val="%6."/>
      <w:lvlJc w:val="left"/>
      <w:pPr>
        <w:tabs>
          <w:tab w:pos="3600" w:val="num"/>
        </w:tabs>
        <w:ind w:hanging="480" w:left="4080"/>
      </w:pPr>
    </w:lvl>
    <w:lvl w:ilvl="6">
      <w:start w:val="1"/>
      <w:numFmt w:val="decimal"/>
      <w:lvlText w:val="%7."/>
      <w:lvlJc w:val="left"/>
      <w:pPr>
        <w:tabs>
          <w:tab w:pos="4320" w:val="num"/>
        </w:tabs>
        <w:ind w:hanging="480" w:left="4800"/>
      </w:pPr>
    </w:lvl>
    <w:lvl w:ilvl="7">
      <w:start w:val="1"/>
      <w:numFmt w:val="decimal"/>
      <w:lvlText w:val="%8."/>
      <w:lvlJc w:val="left"/>
      <w:pPr>
        <w:tabs>
          <w:tab w:pos="5040" w:val="num"/>
        </w:tabs>
        <w:ind w:hanging="480" w:left="5520"/>
      </w:pPr>
    </w:lvl>
    <w:lvl w:ilvl="8">
      <w:start w:val="1"/>
      <w:numFmt w:val="decimal"/>
      <w:lvlText w:val="%9.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666442937" w:numId="1">
    <w:abstractNumId w:val="1"/>
  </w:num>
  <w:num w16cid:durableId="611596762" w:numId="2">
    <w:abstractNumId w:val="0"/>
  </w:num>
  <w:num w16cid:durableId="388962429" w:numId="3">
    <w:abstractNumId w:val="0"/>
  </w:num>
  <w:num w16cid:durableId="1208103481" w:numId="4">
    <w:abstractNumId w:val="0"/>
  </w:num>
  <w:num w16cid:durableId="2058387244" w:numId="5">
    <w:abstractNumId w:val="0"/>
  </w:num>
  <w:num w16cid:durableId="571309507" w:numId="6">
    <w:abstractNumId w:val="0"/>
  </w:num>
  <w:num w16cid:durableId="564293530" w:numId="7">
    <w:abstractNumId w:val="0"/>
  </w:num>
  <w:num w16cid:durableId="1537962493" w:numId="8">
    <w:abstractNumId w:val="0"/>
  </w:num>
  <w:num w16cid:durableId="1458573164" w:numId="9">
    <w:abstractNumId w:val="0"/>
  </w:num>
  <w:num w16cid:durableId="2042437547" w:numId="10">
    <w:abstractNumId w:val="0"/>
  </w:num>
  <w:num w16cid:durableId="2042438987" w:numId="11">
    <w:abstractNumId w:val="0"/>
  </w:num>
  <w:num w16cid:durableId="477458780" w:numId="12">
    <w:abstractNumId w:val="0"/>
  </w:num>
  <w:num w16cid:durableId="698898323" w:numId="13">
    <w:abstractNumId w:val="0"/>
  </w:num>
  <w:num w16cid:durableId="424956732" w:numId="14">
    <w:abstractNumId w:val="0"/>
  </w:num>
  <w:num w16cid:durableId="69932026" w:numId="15">
    <w:abstractNumId w:val="0"/>
  </w:num>
  <w:num w16cid:durableId="1401829951"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20593767" w:numId="17">
    <w:abstractNumId w:val="0"/>
  </w:num>
  <w:num w16cid:durableId="293027331" w:numId="18">
    <w:abstractNumId w:val="2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color w:val="1A1A1A"/>
        <w:sz w:val="22"/>
        <w:szCs w:val="22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E64C38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E64C38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E64C3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val="E64C38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E64C38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E64C38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E64C38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E64C38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E64C38"/>
      <w:sz w:val="24"/>
      <w:szCs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b/>
      <w:color w:val="E64C38"/>
      <w:sz w:val="52"/>
      <w:szCs w:val="52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val="E64C3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TOC1" w:type="paragraph">
    <w:name w:val="toc 1"/>
    <w:basedOn w:val="Normal"/>
    <w:next w:val="Normal"/>
    <w:autoRedefine/>
    <w:uiPriority w:val="39"/>
    <w:rsid w:val="005704A3"/>
    <w:pPr>
      <w:spacing w:after="100"/>
    </w:pPr>
  </w:style>
  <w:style w:styleId="TOC2" w:type="paragraph">
    <w:name w:val="toc 2"/>
    <w:basedOn w:val="Normal"/>
    <w:next w:val="Normal"/>
    <w:autoRedefine/>
    <w:uiPriority w:val="39"/>
    <w:rsid w:val="005704A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ontserra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Montserra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7850</Words>
  <Characters>47651</Characters>
  <Application>Microsoft Office Word</Application>
  <DocSecurity>0</DocSecurity>
  <Lines>1764</Lines>
  <Paragraphs>1321</Paragraphs>
  <ScaleCrop>false</ScaleCrop>
  <Company/>
  <LinksUpToDate>false</LinksUpToDate>
  <CharactersWithSpaces>54180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2026-09-03T23:52:58Z</dcterms:created>
  <dcterms:modified xsi:type="dcterms:W3CDTF">2026-09-03T23:52:58Z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