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 July 28, 2026 (end of Session 15)</w:t>
      </w:r>
    </w:p>
    <w:p>
      <w:r>
        <w:pict>
          <v:rect style="width:0;height:1.5pt" o:hralign="center" o:hrstd="t" o:hr="t"/>
        </w:pict>
      </w:r>
    </w:p>
    <w:bookmarkStart w:id="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9"/>
    <w:bookmarkStart w:id="1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10"/>
    <w:bookmarkStart w:id="1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11"/>
    <w:bookmarkStart w:id="12" w:name="key-constants"/>
    <w:p>
      <w:pPr>
        <w:pStyle w:val="Heading2"/>
      </w:pPr>
      <w:r>
        <w:t xml:space="preserve">KEY CONSTANTS</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12"/>
    <w:bookmarkStart w:id="1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13"/>
    <w:bookmarkStart w:id="21" w:name="what-was-done-session-16-july-31-2026"/>
    <w:p>
      <w:pPr>
        <w:pStyle w:val="Heading2"/>
      </w:pPr>
      <w:r>
        <w:t xml:space="preserve">WHAT WAS DONE (Session 16, July 31, 2026)</w:t>
      </w:r>
    </w:p>
    <w:bookmarkStart w:id="14"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materialise.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14"/>
    <w:bookmarkStart w:id="15"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15"/>
    <w:bookmarkStart w:id="16"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16"/>
    <w:bookmarkStart w:id="17" w:name="quarterly-runbook-from-q3-onward"/>
    <w:p>
      <w:pPr>
        <w:pStyle w:val="Heading3"/>
      </w:pPr>
      <w:r>
        <w:t xml:space="preserve">Quarterly runbook (from Q3 onward)</w:t>
      </w:r>
    </w:p>
    <w:p>
      <w:pPr>
        <w:pStyle w:val="Compact"/>
        <w:numPr>
          <w:ilvl w:val="0"/>
          <w:numId w:val="1007"/>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7"/>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7"/>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7"/>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7"/>
        </w:numPr>
      </w:pPr>
      <w:r>
        <w:t xml:space="preserve">Roughly ten minutes</w:t>
      </w:r>
    </w:p>
    <w:bookmarkEnd w:id="17"/>
    <w:bookmarkStart w:id="18"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 ten minutes.</w:t>
      </w:r>
      <w:r>
        <w:t xml:space="preserve"> </w:t>
      </w:r>
      <w:r>
        <w:t xml:space="preserve">WF-01’s Device User Check condition becomes:</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p>
    <w:p>
      <w:pPr>
        <w:pStyle w:val="FirstParagraph"/>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08"/>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08"/>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Also do:</w:t>
      </w:r>
      <w:r>
        <w:t xml:space="preserve"> </w:t>
      </w:r>
      <w:r>
        <w:t xml:space="preserve">filter Contacts on</w:t>
      </w:r>
      <w:r>
        <w:t xml:space="preserve"> </w:t>
      </w:r>
      <w:r>
        <w:rPr>
          <w:rStyle w:val="VerbatimChar"/>
        </w:rPr>
        <w:t xml:space="preserve">Email contains @enyrgy.com</w:t>
      </w:r>
      <w:r>
        <w:t xml:space="preserve"> </w:t>
      </w:r>
      <w:r>
        <w:t xml:space="preserve">and check whether other staff addresses went through the same path. Not yet done.</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18"/>
    <w:bookmarkStart w:id="19"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09"/>
        </w:numPr>
      </w:pPr>
      <w:r>
        <w:rPr>
          <w:b/>
          <w:bCs/>
        </w:rPr>
        <w:t xml:space="preserve">UNVERIFIED: Allow Re-Entry.</w:t>
      </w:r>
      <w:r>
        <w:t xml:space="preserve"> </w:t>
      </w:r>
      <w:r>
        <w:t xml:space="preserve">The second-reply test was never run. If off, only a contact’s first ever reply notifies anyone. Run it before trusting the workflow.</w:t>
      </w:r>
    </w:p>
    <w:p>
      <w:pPr>
        <w:pStyle w:val="Compact"/>
        <w:numPr>
          <w:ilvl w:val="0"/>
          <w:numId w:val="1009"/>
        </w:numPr>
      </w:pPr>
      <w:r>
        <w:rPr>
          <w:rStyle w:val="VerbatimChar"/>
          <w:b/>
          <w:bCs/>
        </w:rPr>
        <w:t xml:space="preserve">{{contact.link}}</w:t>
      </w:r>
      <w:r>
        <w:rPr>
          <w:b/>
          <w:bCs/>
        </w:rPr>
        <w:t xml:space="preserve"> </w:t>
      </w:r>
      <w:r>
        <w:rPr>
          <w:b/>
          <w:bCs/>
        </w:rPr>
        <w:t xml:space="preserve">fails GHL merge-field validation.</w:t>
      </w:r>
      <w:r>
        <w:t xml:space="preserve"> </w:t>
      </w:r>
      <w:r>
        <w:t xml:space="preserve">WF-02’s Day 1 notification uses the same field, so its</w:t>
      </w:r>
      <w:r>
        <w:t xml:space="preserve"> </w:t>
      </w:r>
      <w:r>
        <w:t xml:space="preserve">“View contact in GHL”</w:t>
      </w:r>
      <w:r>
        <w:t xml:space="preserve"> </w:t>
      </w:r>
      <w:r>
        <w:t xml:space="preserve">line may be rendering blank. Unchecked.</w:t>
      </w:r>
    </w:p>
    <w:p>
      <w:pPr>
        <w:pStyle w:val="Compact"/>
        <w:numPr>
          <w:ilvl w:val="0"/>
          <w:numId w:val="1009"/>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bookmarkEnd w:id="19"/>
    <w:bookmarkStart w:id="20"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0"/>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0"/>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0"/>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20"/>
    <w:bookmarkEnd w:id="21"/>
    <w:bookmarkStart w:id="22"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22"/>
    <w:bookmarkStart w:id="23"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indoor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23"/>
    <w:bookmarkStart w:id="24"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24"/>
    <w:bookmarkStart w:id="32" w:name="what-was-done-session-12-july-20-21-2026"/>
    <w:p>
      <w:pPr>
        <w:pStyle w:val="Heading2"/>
      </w:pPr>
      <w:r>
        <w:t xml:space="preserve">WHAT WAS DONE (Session 12, July 20-21, 2026)</w:t>
      </w:r>
    </w:p>
    <w:bookmarkStart w:id="25"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25"/>
    <w:bookmarkStart w:id="26" w:name="Xf124d3d22d72216dff1a6fad5ca71afa11782c9"/>
    <w:p>
      <w:pPr>
        <w:pStyle w:val="Heading3"/>
      </w:pPr>
      <w:r>
        <w:t xml:space="preserve">Enyrgy Anthropic (Claude) account created, billing separated, hard-capped</w:t>
      </w:r>
    </w:p>
    <w:p>
      <w:pPr>
        <w:pStyle w:val="Compact"/>
        <w:numPr>
          <w:ilvl w:val="0"/>
          <w:numId w:val="1011"/>
        </w:numPr>
      </w:pPr>
      <w:r>
        <w:t xml:space="preserve">A separate Anthropic Console org for Enyrgy (scott@enyrgy.com) so Ledgerix never pays for Enyrgy agent spend. $25 credits loaded.</w:t>
      </w:r>
    </w:p>
    <w:p>
      <w:pPr>
        <w:pStyle w:val="Compact"/>
        <w:numPr>
          <w:ilvl w:val="0"/>
          <w:numId w:val="1011"/>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26"/>
    <w:bookmarkStart w:id="27" w:name="X7c93f2fc17f574273a7e7707a25d05916cd841a"/>
    <w:p>
      <w:pPr>
        <w:pStyle w:val="Heading3"/>
      </w:pPr>
      <w:r>
        <w:t xml:space="preserve">Org created + runaway starter task cleaned up</w:t>
      </w:r>
    </w:p>
    <w:p>
      <w:pPr>
        <w:pStyle w:val="Compact"/>
        <w:numPr>
          <w:ilvl w:val="0"/>
          <w:numId w:val="1012"/>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2"/>
        </w:numPr>
      </w:pPr>
      <w:r>
        <w:t xml:space="preserve">Paperclip auto-fired a canned demo task (</w:t>
      </w:r>
      <w:r>
        <w:t xml:space="preserve">“Hire your first engineer”</w:t>
      </w:r>
      <w:r>
        <w:t xml:space="preserve">), which spawned a Founding Engineer agent and 6 sub-tasks. Stopped and cancelled the entire subtree; the workspace is clean (0 tasks, 0 running agents). No net spend damage.</w:t>
      </w:r>
    </w:p>
    <w:p>
      <w:pPr>
        <w:pStyle w:val="Compact"/>
        <w:numPr>
          <w:ilvl w:val="0"/>
          <w:numId w:val="1012"/>
        </w:numPr>
      </w:pPr>
      <w:r>
        <w:t xml:space="preserve">The two paused built-in helper agents (Reflection Coach, Summarizer) are Paperclip defaults; left as-is.</w:t>
      </w:r>
    </w:p>
    <w:bookmarkEnd w:id="27"/>
    <w:bookmarkStart w:id="28"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28"/>
    <w:bookmarkStart w:id="29"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29"/>
    <w:bookmarkStart w:id="30" w:name="X2ac6b8e8d2fc49e12399051a2e50a433e682a53"/>
    <w:p>
      <w:pPr>
        <w:pStyle w:val="Heading3"/>
      </w:pPr>
      <w:r>
        <w:t xml:space="preserve">Where the Paperclip build stands against the Phase 2 Setup Guide</w:t>
      </w:r>
    </w:p>
    <w:p>
      <w:pPr>
        <w:pStyle w:val="Compact"/>
        <w:numPr>
          <w:ilvl w:val="0"/>
          <w:numId w:val="1013"/>
        </w:numPr>
      </w:pPr>
      <w:r>
        <w:t xml:space="preserve">DONE: Step 1 Deploy (Section 5), admin claimed, org + CEO lead created, budget cap set.</w:t>
      </w:r>
    </w:p>
    <w:p>
      <w:pPr>
        <w:pStyle w:val="Compact"/>
        <w:numPr>
          <w:ilvl w:val="0"/>
          <w:numId w:val="1013"/>
        </w:numPr>
      </w:pPr>
      <w:r>
        <w:t xml:space="preserve">IN PROGRESS: Step 2 Connect GHL (Section 6) - token created, bridge pending.</w:t>
      </w:r>
    </w:p>
    <w:p>
      <w:pPr>
        <w:pStyle w:val="Compact"/>
        <w:numPr>
          <w:ilvl w:val="0"/>
          <w:numId w:val="1013"/>
        </w:numPr>
      </w:pPr>
      <w:r>
        <w:t xml:space="preserve">NOT STARTED: Step 3 Load KB; Steps 4-6 build the remaining 15 agents (CEO already exists); Step 7 compliance gate; Step 8 5-contact test; Step 9 staged go-live.</w:t>
      </w:r>
    </w:p>
    <w:bookmarkEnd w:id="30"/>
    <w:bookmarkStart w:id="31" w:name="Xf91d26447d0b09b2d9eb7e6479e104dbfc30e41"/>
    <w:p>
      <w:pPr>
        <w:pStyle w:val="Heading3"/>
      </w:pPr>
      <w:r>
        <w:t xml:space="preserve">Paperclip access details (for next session)</w:t>
      </w:r>
    </w:p>
    <w:p>
      <w:pPr>
        <w:pStyle w:val="Compact"/>
        <w:numPr>
          <w:ilvl w:val="0"/>
          <w:numId w:val="1014"/>
        </w:numPr>
      </w:pPr>
      <w:r>
        <w:t xml:space="preserve">Dashboard: https://enyrgy-paperclip-production.up.railway.app (owner: scott@enyrgy.com)</w:t>
      </w:r>
    </w:p>
    <w:p>
      <w:pPr>
        <w:pStyle w:val="Compact"/>
        <w:numPr>
          <w:ilvl w:val="0"/>
          <w:numId w:val="1014"/>
        </w:numPr>
      </w:pPr>
      <w:r>
        <w:t xml:space="preserve">Railway: the Enyrgy Railway account, one Paperclip service + Postgres + /paperclip volume</w:t>
      </w:r>
    </w:p>
    <w:p>
      <w:pPr>
        <w:pStyle w:val="Compact"/>
        <w:numPr>
          <w:ilvl w:val="0"/>
          <w:numId w:val="1014"/>
        </w:numPr>
      </w:pPr>
      <w:r>
        <w:t xml:space="preserve">Local clone: ~/Projects/enyrgy-paperclip-core. Note: local git is authed as LedgerixPro, so pushing to enyrgy/paperclip needs the auth fixed or a commit via GitHub web.</w:t>
      </w:r>
    </w:p>
    <w:p>
      <w:pPr>
        <w:pStyle w:val="Compact"/>
        <w:numPr>
          <w:ilvl w:val="0"/>
          <w:numId w:val="1014"/>
        </w:numPr>
      </w:pPr>
      <w:r>
        <w:t xml:space="preserve">GHL Private Integration token: held by Scott; it will live in the bridge service’s Railway env vars, not in Paperclip.</w:t>
      </w:r>
    </w:p>
    <w:p>
      <w:r>
        <w:pict>
          <v:rect style="width:0;height:1.5pt" o:hralign="center" o:hrstd="t" o:hr="t"/>
        </w:pict>
      </w:r>
    </w:p>
    <w:bookmarkEnd w:id="31"/>
    <w:bookmarkEnd w:id="32"/>
    <w:bookmarkStart w:id="42" w:name="what-was-done-session-11-july-19-2026"/>
    <w:p>
      <w:pPr>
        <w:pStyle w:val="Heading2"/>
      </w:pPr>
      <w:r>
        <w:t xml:space="preserve">WHAT WAS DONE (Session 11, July 19, 2026)</w:t>
      </w:r>
    </w:p>
    <w:bookmarkStart w:id="33"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33"/>
    <w:bookmarkStart w:id="34"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34"/>
    <w:bookmarkStart w:id="35" w:name="remaining-shopify-not-done-today"/>
    <w:p>
      <w:pPr>
        <w:pStyle w:val="Heading3"/>
      </w:pPr>
      <w:r>
        <w:t xml:space="preserve">Remaining Shopify (not done today)</w:t>
      </w:r>
    </w:p>
    <w:p>
      <w:pPr>
        <w:pStyle w:val="Compact"/>
        <w:numPr>
          <w:ilvl w:val="0"/>
          <w:numId w:val="1015"/>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5"/>
        </w:numPr>
      </w:pPr>
      <w:r>
        <w:t xml:space="preserve">Abandoned-checkout webhook: developer build, highest-ROI recovery piece.</w:t>
      </w:r>
    </w:p>
    <w:bookmarkEnd w:id="35"/>
    <w:bookmarkStart w:id="36"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36"/>
    <w:bookmarkStart w:id="37"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37"/>
    <w:bookmarkStart w:id="38"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38"/>
    <w:bookmarkStart w:id="39"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39"/>
    <w:bookmarkStart w:id="40"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40"/>
    <w:bookmarkStart w:id="41" w:name="Xf6b1f1ebbf33969a49fb05f42c51b3df4bd891e"/>
    <w:p>
      <w:pPr>
        <w:pStyle w:val="Heading3"/>
      </w:pPr>
      <w:r>
        <w:t xml:space="preserve">Remaining on Abandoned Checkout (not blocking, system is live)</w:t>
      </w:r>
    </w:p>
    <w:p>
      <w:pPr>
        <w:pStyle w:val="Compact"/>
        <w:numPr>
          <w:ilvl w:val="0"/>
          <w:numId w:val="1016"/>
        </w:numPr>
      </w:pPr>
      <w:r>
        <w:t xml:space="preserve">Railway upgraded to the Hobby plan (Session 11), so the service is always-on. No action needed.</w:t>
      </w:r>
    </w:p>
    <w:p>
      <w:pPr>
        <w:pStyle w:val="Compact"/>
        <w:numPr>
          <w:ilvl w:val="0"/>
          <w:numId w:val="1016"/>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6"/>
        </w:numPr>
      </w:pPr>
      <w:r>
        <w:t xml:space="preserve">Optional: a real end-to-end test (start a checkout on shop.enyrgy.com, abandon it, wait past the 60-min grace, confirm it lands in WF-29).</w:t>
      </w:r>
    </w:p>
    <w:p>
      <w:r>
        <w:pict>
          <v:rect style="width:0;height:1.5pt" o:hralign="center" o:hrstd="t" o:hr="t"/>
        </w:pict>
      </w:r>
    </w:p>
    <w:bookmarkEnd w:id="41"/>
    <w:bookmarkEnd w:id="42"/>
    <w:bookmarkStart w:id="48" w:name="what-was-done-session-10-july-18-2026"/>
    <w:p>
      <w:pPr>
        <w:pStyle w:val="Heading2"/>
      </w:pPr>
      <w:r>
        <w:t xml:space="preserve">WHAT WAS DONE (Session 10, July 18, 2026)</w:t>
      </w:r>
    </w:p>
    <w:bookmarkStart w:id="43"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43"/>
    <w:bookmarkStart w:id="44"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44"/>
    <w:bookmarkStart w:id="45" w:name="Xf313635a57578d15d4ec79da1e50fcc4e357623"/>
    <w:p>
      <w:pPr>
        <w:pStyle w:val="Heading3"/>
      </w:pPr>
      <w:r>
        <w:t xml:space="preserve">617 existing customers imported into GHL (safe, no workflow enrollment)</w:t>
      </w:r>
    </w:p>
    <w:p>
      <w:pPr>
        <w:pStyle w:val="Compact"/>
        <w:numPr>
          <w:ilvl w:val="0"/>
          <w:numId w:val="1017"/>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7"/>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7"/>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7"/>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7"/>
        </w:numPr>
      </w:pPr>
      <w:r>
        <w:t xml:space="preserve">Import file:</w:t>
      </w:r>
      <w:r>
        <w:t xml:space="preserve"> </w:t>
      </w:r>
      <w:r>
        <w:rPr>
          <w:rStyle w:val="VerbatimChar"/>
        </w:rPr>
        <w:t xml:space="preserve">Enyrgy_Production_Users_FINAL_for_GHL.csv</w:t>
      </w:r>
      <w:r>
        <w:t xml:space="preserve"> </w:t>
      </w:r>
      <w:r>
        <w:t xml:space="preserve">(617 rows).</w:t>
      </w:r>
    </w:p>
    <w:bookmarkEnd w:id="45"/>
    <w:bookmarkStart w:id="46"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46"/>
    <w:bookmarkStart w:id="47"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47"/>
    <w:bookmarkEnd w:id="48"/>
    <w:bookmarkStart w:id="55" w:name="what-was-done-session-9-july-17-2026"/>
    <w:p>
      <w:pPr>
        <w:pStyle w:val="Heading2"/>
      </w:pPr>
      <w:r>
        <w:t xml:space="preserve">WHAT WAS DONE (Session 9, July 17, 2026)</w:t>
      </w:r>
    </w:p>
    <w:bookmarkStart w:id="49"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49"/>
    <w:bookmarkStart w:id="50"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50"/>
    <w:bookmarkStart w:id="51"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51"/>
    <w:bookmarkStart w:id="52" w:name="key-fixes-found-during-go-live"/>
    <w:p>
      <w:pPr>
        <w:pStyle w:val="Heading3"/>
      </w:pPr>
      <w:r>
        <w:t xml:space="preserve">Key fixes found during go-live</w:t>
      </w:r>
    </w:p>
    <w:p>
      <w:pPr>
        <w:pStyle w:val="Compact"/>
        <w:numPr>
          <w:ilvl w:val="0"/>
          <w:numId w:val="1018"/>
        </w:numPr>
      </w:pPr>
      <w:r>
        <w:t xml:space="preserve">The browser send had to be form-encoded (application/x-www-form-urlencoded); GHL did not parse the earlier JSON or plain-text attempts, so contacts came through empty.</w:t>
      </w:r>
    </w:p>
    <w:p>
      <w:pPr>
        <w:pStyle w:val="Compact"/>
        <w:numPr>
          <w:ilvl w:val="0"/>
          <w:numId w:val="1018"/>
        </w:numPr>
      </w:pPr>
      <w:r>
        <w:t xml:space="preserve">GHL condition branches do not rejoin, so unconditional actions (the email) sit above any branch.</w:t>
      </w:r>
    </w:p>
    <w:p>
      <w:pPr>
        <w:pStyle w:val="Compact"/>
        <w:numPr>
          <w:ilvl w:val="0"/>
          <w:numId w:val="1018"/>
        </w:numPr>
      </w:pPr>
      <w:r>
        <w:t xml:space="preserve">Results and email CTAs re-routed by readiness: ready buyers to the platform or order page, unsure people to the Consumer Discovery booking calendar, not straight to checkout.</w:t>
      </w:r>
    </w:p>
    <w:p>
      <w:pPr>
        <w:pStyle w:val="Compact"/>
        <w:numPr>
          <w:ilvl w:val="0"/>
          <w:numId w:val="1018"/>
        </w:numPr>
      </w:pPr>
      <w:r>
        <w:t xml:space="preserve">Disclosures: removed the annual skin-exam line from all emails, the page footer, and the Brand Guide, per Scott.</w:t>
      </w:r>
    </w:p>
    <w:bookmarkEnd w:id="52"/>
    <w:bookmarkStart w:id="53"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53"/>
    <w:bookmarkStart w:id="54" w:name="follow-ons"/>
    <w:p>
      <w:pPr>
        <w:pStyle w:val="Heading3"/>
      </w:pPr>
      <w:r>
        <w:t xml:space="preserve">Follow-ons</w:t>
      </w:r>
    </w:p>
    <w:p>
      <w:pPr>
        <w:pStyle w:val="Compact"/>
        <w:numPr>
          <w:ilvl w:val="0"/>
          <w:numId w:val="1019"/>
        </w:numPr>
      </w:pPr>
      <w:r>
        <w:t xml:space="preserve">DONE: goal and SMS segmentation (the Dynamic Add Tag action above).</w:t>
      </w:r>
    </w:p>
    <w:p>
      <w:pPr>
        <w:pStyle w:val="Compact"/>
        <w:numPr>
          <w:ilvl w:val="0"/>
          <w:numId w:val="1019"/>
        </w:numPr>
      </w:pPr>
      <w:r>
        <w:t xml:space="preserve">DONE: WF-22 nurture series.</w:t>
      </w:r>
    </w:p>
    <w:p>
      <w:pPr>
        <w:pStyle w:val="Compact"/>
        <w:numPr>
          <w:ilvl w:val="0"/>
          <w:numId w:val="1019"/>
        </w:numPr>
      </w:pPr>
      <w:r>
        <w:t xml:space="preserve">Optional: a clean go.enyrgy.com/book vanity redirect to the Consumer Discovery calendar (the widget URL works today).</w:t>
      </w:r>
    </w:p>
    <w:p>
      <w:pPr>
        <w:pStyle w:val="Compact"/>
        <w:numPr>
          <w:ilvl w:val="0"/>
          <w:numId w:val="1019"/>
        </w:numPr>
      </w:pPr>
      <w:r>
        <w:t xml:space="preserve">Later: an optional high-risk accelerator variant of the nurture series, keyed off the high_deficiency_risk tag.</w:t>
      </w:r>
    </w:p>
    <w:p>
      <w:r>
        <w:pict>
          <v:rect style="width:0;height:1.5pt" o:hralign="center" o:hrstd="t" o:hr="t"/>
        </w:pict>
      </w:r>
    </w:p>
    <w:bookmarkEnd w:id="54"/>
    <w:bookmarkEnd w:id="55"/>
    <w:bookmarkStart w:id="61" w:name="what-was-done-session-8-july-17-2026"/>
    <w:p>
      <w:pPr>
        <w:pStyle w:val="Heading2"/>
      </w:pPr>
      <w:r>
        <w:t xml:space="preserve">WHAT WAS DONE (Session 8, July 17, 2026)</w:t>
      </w:r>
    </w:p>
    <w:bookmarkStart w:id="56"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56"/>
    <w:bookmarkStart w:id="57"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57"/>
    <w:bookmarkStart w:id="58"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58"/>
    <w:bookmarkStart w:id="59"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59"/>
    <w:bookmarkStart w:id="60"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60"/>
    <w:bookmarkEnd w:id="61"/>
    <w:bookmarkStart w:id="66" w:name="Xf8697388ee1f0c921a2cc901f609b36fb20cf09"/>
    <w:p>
      <w:pPr>
        <w:pStyle w:val="Heading2"/>
      </w:pPr>
      <w:r>
        <w:t xml:space="preserve">WHAT WAS DONE THIS SESSION (Session 7, July 13, 2026)</w:t>
      </w:r>
    </w:p>
    <w:bookmarkStart w:id="62"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62"/>
    <w:bookmarkStart w:id="63"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63"/>
    <w:bookmarkStart w:id="64"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64"/>
    <w:bookmarkStart w:id="65"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65"/>
    <w:bookmarkEnd w:id="66"/>
    <w:bookmarkStart w:id="69" w:name="what-was-done-session-6-july-13-2026"/>
    <w:p>
      <w:pPr>
        <w:pStyle w:val="Heading2"/>
      </w:pPr>
      <w:r>
        <w:t xml:space="preserve">WHAT WAS DONE (Session 6, July 13, 2026)</w:t>
      </w:r>
    </w:p>
    <w:bookmarkStart w:id="67"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67"/>
    <w:bookmarkStart w:id="68" w:name="wip-tracker-updated-enyrgy_ghl_wip-3"/>
    <w:p>
      <w:pPr>
        <w:pStyle w:val="Heading3"/>
      </w:pPr>
      <w:r>
        <w:t xml:space="preserve">WIP Tracker Updated (Enyrgy_GHL_WIP-3)</w:t>
      </w:r>
    </w:p>
    <w:p>
      <w:pPr>
        <w:pStyle w:val="Compact"/>
        <w:numPr>
          <w:ilvl w:val="0"/>
          <w:numId w:val="1020"/>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0"/>
        </w:numPr>
      </w:pPr>
      <w:r>
        <w:t xml:space="preserve">SHAKEN/STIR marked Approved &amp; Verified</w:t>
      </w:r>
    </w:p>
    <w:p>
      <w:pPr>
        <w:pStyle w:val="Compact"/>
        <w:numPr>
          <w:ilvl w:val="0"/>
          <w:numId w:val="1020"/>
        </w:numPr>
      </w:pPr>
      <w:r>
        <w:t xml:space="preserve">Facility address update marked Complete</w:t>
      </w:r>
    </w:p>
    <w:p>
      <w:pPr>
        <w:pStyle w:val="Compact"/>
        <w:numPr>
          <w:ilvl w:val="0"/>
          <w:numId w:val="1020"/>
        </w:numPr>
      </w:pPr>
      <w:r>
        <w:t xml:space="preserve">Winter Protocol workflow + landing page marked Complete</w:t>
      </w:r>
    </w:p>
    <w:p>
      <w:pPr>
        <w:pStyle w:val="Compact"/>
        <w:numPr>
          <w:ilvl w:val="0"/>
          <w:numId w:val="1020"/>
        </w:numPr>
      </w:pPr>
      <w:r>
        <w:t xml:space="preserve">David SMTP / per-workflow sender marked Complete (LC Email, Scott is sender on all workflows)</w:t>
      </w:r>
    </w:p>
    <w:p>
      <w:pPr>
        <w:pStyle w:val="Compact"/>
        <w:numPr>
          <w:ilvl w:val="0"/>
          <w:numId w:val="1020"/>
        </w:numPr>
      </w:pPr>
      <w:r>
        <w:t xml:space="preserve">Checklist items 2, 3, 4, and 8 marked Complete</w:t>
      </w:r>
    </w:p>
    <w:p>
      <w:pPr>
        <w:pStyle w:val="Compact"/>
        <w:numPr>
          <w:ilvl w:val="0"/>
          <w:numId w:val="1020"/>
        </w:numPr>
      </w:pPr>
      <w:r>
        <w:t xml:space="preserve">Total raise corrected: $2.5M -&gt; $3.5M in Section 9 Permanent Decisions</w:t>
      </w:r>
    </w:p>
    <w:p>
      <w:pPr>
        <w:pStyle w:val="Compact"/>
        <w:numPr>
          <w:ilvl w:val="0"/>
          <w:numId w:val="1020"/>
        </w:numPr>
      </w:pPr>
      <w:r>
        <w:t xml:space="preserve">Content framework rule corrected in Section 9 (Story Selling OS is not for all content)</w:t>
      </w:r>
    </w:p>
    <w:p>
      <w:pPr>
        <w:pStyle w:val="Compact"/>
        <w:numPr>
          <w:ilvl w:val="0"/>
          <w:numId w:val="1020"/>
        </w:numPr>
      </w:pPr>
      <w:r>
        <w:t xml:space="preserve">Session 3 log entry added</w:t>
      </w:r>
    </w:p>
    <w:p>
      <w:r>
        <w:pict>
          <v:rect style="width:0;height:1.5pt" o:hralign="center" o:hrstd="t" o:hr="t"/>
        </w:pict>
      </w:r>
    </w:p>
    <w:bookmarkEnd w:id="68"/>
    <w:bookmarkEnd w:id="69"/>
    <w:bookmarkStart w:id="70"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70"/>
    <w:bookmarkStart w:id="75" w:name="remaining-open-tasks"/>
    <w:p>
      <w:pPr>
        <w:pStyle w:val="Heading2"/>
      </w:pPr>
      <w:r>
        <w:t xml:space="preserve">REMAINING OPEN TASKS</w:t>
      </w:r>
    </w:p>
    <w:bookmarkStart w:id="71" w:name="high-priority"/>
    <w:p>
      <w:pPr>
        <w:pStyle w:val="Heading3"/>
      </w:pPr>
      <w:r>
        <w:t xml:space="preserve">HIGH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71"/>
    <w:bookmarkStart w:id="72" w:name="medium-priority"/>
    <w:p>
      <w:pPr>
        <w:pStyle w:val="Heading3"/>
      </w:pPr>
      <w:r>
        <w:t xml:space="preserve">MEDIUM Priority</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72"/>
    <w:bookmarkStart w:id="73" w:name="website-punch-list-enyrgy.com"/>
    <w:p>
      <w:pPr>
        <w:pStyle w:val="Heading3"/>
      </w:pPr>
      <w:r>
        <w:t xml:space="preserve">Website Punch List (enyrgy.com)</w:t>
      </w:r>
    </w:p>
    <w:p>
      <w:pPr>
        <w:pStyle w:val="Compact"/>
        <w:numPr>
          <w:ilvl w:val="0"/>
          <w:numId w:val="1021"/>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1"/>
        </w:numPr>
      </w:pPr>
      <w:r>
        <w:t xml:space="preserve">Our Story page: verify two CTA link targets</w:t>
      </w:r>
    </w:p>
    <w:p>
      <w:pPr>
        <w:pStyle w:val="Compact"/>
        <w:numPr>
          <w:ilvl w:val="0"/>
          <w:numId w:val="1021"/>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1"/>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1"/>
        </w:numPr>
      </w:pPr>
      <w:r>
        <w:t xml:space="preserve">Shopify Privacy Policy: confirm shop.enyrgy.com subdomain address is current everywhere (A2P-relevant)</w:t>
      </w:r>
    </w:p>
    <w:p>
      <w:pPr>
        <w:pStyle w:val="Compact"/>
        <w:numPr>
          <w:ilvl w:val="0"/>
          <w:numId w:val="1021"/>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73"/>
    <w:bookmarkStart w:id="74" w:name="low-priority-future"/>
    <w:p>
      <w:pPr>
        <w:pStyle w:val="Heading3"/>
      </w:pPr>
      <w:r>
        <w:t xml:space="preserve">LOW Priority / Future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74"/>
    <w:bookmarkEnd w:id="75"/>
    <w:bookmarkStart w:id="76" w:name="Xd5e62dec0e4aa635b1cc955a3d912b35f7f6a98"/>
    <w:p>
      <w:pPr>
        <w:pStyle w:val="Heading2"/>
      </w:pPr>
      <w:r>
        <w:t xml:space="preserve">ICP-DARTBOARD CONSUMER FUNNEL - CURRENT STATE (all live)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76"/>
    <w:bookmarkStart w:id="77"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77"/>
    <w:bookmarkStart w:id="78" w:name="documents-current-as-of-this-session"/>
    <w:p>
      <w:pPr>
        <w:pStyle w:val="Heading2"/>
      </w:pPr>
      <w:r>
        <w:t xml:space="preserve">DOCUMENTS CURRENT AS OF THIS SESSION</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15 sections, voice-passed.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re-synced Aug 3, 2026 and confirmed at repo commit</w:t>
            </w:r>
            <w:r>
              <w:rPr>
                <w:b/>
                <w:bCs/>
              </w:rPr>
              <w:t xml:space="preserve"> </w:t>
            </w:r>
            <w:r>
              <w:rPr>
                <w:rStyle w:val="VerbatimChar"/>
                <w:b/>
                <w:bCs/>
              </w:rPr>
              <w:t xml:space="preserve">42090226</w:t>
            </w:r>
            <w:r>
              <w:rPr>
                <w:b/>
                <w:bCs/>
              </w:rPr>
              <w:t xml:space="preserve">.</w:t>
            </w:r>
            <w:r>
              <w:t xml:space="preserve"> </w:t>
            </w:r>
            <w:r>
              <w:t xml:space="preserve">That sync carried nine targeted edits: S1 users-not-customers (a home unit supports six users, so</w:t>
            </w:r>
            <w:r>
              <w:t xml:space="preserve"> </w:t>
            </w:r>
            <w:r>
              <w:t xml:space="preserve">“600+ customers”</w:t>
            </w:r>
            <w:r>
              <w:t xml:space="preserve"> </w:t>
            </w:r>
            <w:r>
              <w:t xml:space="preserve">overstates unit sales), S1 Brian Cameron CFO as a former securities regulator, S1 referral operated manually via a hand-built Shopify code, S1 contact@enyrgy.com as the monitored inbound address, S4 pilot-to-study plus the two new rules behind it (never call it a pilot, since the study ran months after full production launch; write</w:t>
            </w:r>
            <w:r>
              <w:t xml:space="preserve"> </w:t>
            </w:r>
            <w:r>
              <w:t xml:space="preserve">“the five participants”</w:t>
            </w:r>
            <w:r>
              <w:t xml:space="preserve"> </w:t>
            </w:r>
            <w:r>
              <w:t xml:space="preserve">so the article does not imply a larger cohort in which only five responded), S4 participant-level line aligned, S5 the three advisor bios with publication and tenure figures plus the guidance paragraph, S6/S7 users and</w:t>
            </w:r>
            <w:r>
              <w:t xml:space="preserve"> </w:t>
            </w:r>
            <w:r>
              <w:t xml:space="preserve">“in research clinical trials”</w:t>
            </w:r>
            <w:r>
              <w:t xml:space="preserve">, and S8 the approved one-in-four wording.</w:t>
            </w:r>
            <w:r>
              <w:t xml:space="preserve"> </w:t>
            </w:r>
            <w:r>
              <w:rPr>
                <w:b/>
                <w:bCs/>
              </w:rPr>
              <w:t xml:space="preserve">S8 was the one that mattered:</w:t>
            </w:r>
            <w:r>
              <w:t xml:space="preserve"> </w:t>
            </w:r>
            <w:r>
              <w:t xml:space="preserve">“in these trials”</w:t>
            </w:r>
            <w:r>
              <w:t xml:space="preserve"> </w:t>
            </w:r>
            <w:r>
              <w:t xml:space="preserve">is only unambiguous while it sits beside the citation, and an agent lifting the phrase into an email leaves the citation behind, so the reader parses it as Enyrgy’s own trials. Prior sync Aug 2 at</w:t>
            </w:r>
            <w:r>
              <w:t xml:space="preserve"> </w:t>
            </w:r>
            <w:r>
              <w:rPr>
                <w:rStyle w:val="VerbatimChar"/>
              </w:rPr>
              <w:t xml:space="preserve">17c553b7</w:t>
            </w:r>
            <w:r>
              <w:t xml:space="preserve">, which carried: S2 sales anchor qualified (the unqualified</w:t>
            </w:r>
            <w:r>
              <w:t xml:space="preserve"> </w:t>
            </w:r>
            <w:r>
              <w:t xml:space="preserve">“no other solution delivers all three”</w:t>
            </w:r>
            <w:r>
              <w:t xml:space="preserve"> </w:t>
            </w:r>
            <w:r>
              <w:t xml:space="preserve">is knockable down by a tanning bed, which does trigger all three pathways badly and with no dosing control; the calibration-and-cutoff qualifier is what nothing else clears), S3 commercial unit footprint 4ft by 4ft, and S3 manufacturing lead-time policy with no figures recorded since batch size moves with funding.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78"/>
    <w:bookmarkStart w:id="79"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2026-08-04T13:55:41Z</dcterms:created>
  <dcterms:modified xsi:type="dcterms:W3CDTF">2026-08-04T13:55:41Z</dcterms:modified>
</cp:coreProperties>
</file>

<file path=docProps/custom.xml><?xml version="1.0" encoding="utf-8"?>
<Properties xmlns="http://schemas.openxmlformats.org/officeDocument/2006/custom-properties" xmlns:vt="http://schemas.openxmlformats.org/officeDocument/2006/docPropsVTypes"/>
</file>