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88A2AD" w14:textId="77777777" w:rsidR="000A4BF1" w:rsidRDefault="00000000">
      <w:pPr>
        <w:pStyle w:val="Heading1"/>
      </w:pPr>
      <w:bookmarkStart w:id="0" w:name="enyrgy---brand-identity-and-style-guide"/>
      <w:r>
        <w:t>ENYRGY - Brand Identity and Style Guide</w:t>
      </w:r>
    </w:p>
    <w:p w14:paraId="31D5A422" w14:textId="77777777" w:rsidR="000A4BF1" w:rsidRDefault="00000000">
      <w:pPr>
        <w:pStyle w:val="FirstParagraph"/>
      </w:pPr>
      <w:r>
        <w:rPr>
          <w:b/>
          <w:bCs/>
        </w:rPr>
        <w:t>Sunlight. Evolved.</w:t>
      </w:r>
    </w:p>
    <w:p w14:paraId="6C068BA8" w14:textId="77777777" w:rsidR="000A4BF1" w:rsidRDefault="00000000">
      <w:pPr>
        <w:pStyle w:val="BodyText"/>
      </w:pPr>
      <w:r>
        <w:t>Version 2.0 | June 2026 (project reference copy, Session 7) · Supersedes: Style Guide v6, September 2023</w:t>
      </w:r>
    </w:p>
    <w:p w14:paraId="5228AE08" w14:textId="77777777" w:rsidR="000A4BF1" w:rsidRDefault="00000000">
      <w:pPr>
        <w:pStyle w:val="BodyText"/>
      </w:pPr>
      <w:r>
        <w:t>This is the governing brand authority for Enyrgy. All copy, design, and marketing assets follow it. No em-dashes anywhere. Age minimum resolved to 18 (see Section 08).</w:t>
      </w:r>
    </w:p>
    <w:p w14:paraId="7DA94870" w14:textId="3EC3D72D" w:rsidR="000A4BF1" w:rsidRDefault="000A4BF1"/>
    <w:p w14:paraId="624CE13A" w14:textId="77777777" w:rsidR="000A4BF1" w:rsidRDefault="00000000">
      <w:pPr>
        <w:pStyle w:val="Heading2"/>
      </w:pPr>
      <w:bookmarkStart w:id="1" w:name="brand-overview"/>
      <w:r>
        <w:t>01 Brand Overview</w:t>
      </w:r>
    </w:p>
    <w:p w14:paraId="3A696788" w14:textId="77777777" w:rsidR="000A4BF1" w:rsidRDefault="00000000">
      <w:pPr>
        <w:pStyle w:val="Heading3"/>
      </w:pPr>
      <w:bookmarkStart w:id="2" w:name="brand-mission"/>
      <w:r>
        <w:t>Brand Mission</w:t>
      </w:r>
    </w:p>
    <w:p w14:paraId="78B590BD" w14:textId="77777777" w:rsidR="000A4BF1" w:rsidRDefault="00000000">
      <w:pPr>
        <w:pStyle w:val="FirstParagraph"/>
      </w:pPr>
      <w:r>
        <w:t>Enyrgy exists to give people back the light their modern lives have taken away. We have engineered a precision phototherapy platform that delivers the biological benefits of midday sun (vitamin D synthesis, nitric oxide release, serotonin activation) in 2 to 4 minutes per day, indoors, year round, calibrated to each person’s biology.</w:t>
      </w:r>
    </w:p>
    <w:p w14:paraId="687E95AC" w14:textId="77777777" w:rsidR="000A4BF1" w:rsidRDefault="00000000">
      <w:pPr>
        <w:pStyle w:val="Heading3"/>
      </w:pPr>
      <w:bookmarkStart w:id="3" w:name="official-product-name"/>
      <w:bookmarkEnd w:id="2"/>
      <w:r>
        <w:t>Official Product Name</w:t>
      </w:r>
    </w:p>
    <w:p w14:paraId="5B40E0CB" w14:textId="77777777" w:rsidR="000A4BF1" w:rsidRDefault="00000000">
      <w:pPr>
        <w:pStyle w:val="FirstParagraph"/>
      </w:pPr>
      <w:r>
        <w:rPr>
          <w:b/>
          <w:bCs/>
        </w:rPr>
        <w:t>Enyrgy Vitamin D Primal Light Platform</w:t>
      </w:r>
    </w:p>
    <w:p w14:paraId="62FCA881" w14:textId="77777777" w:rsidR="000A4BF1" w:rsidRDefault="00000000">
      <w:pPr>
        <w:pStyle w:val="BodyText"/>
      </w:pPr>
      <w:r>
        <w:t>This is the canonical product name. Use it in full on first reference in any document, webpage, or marketing asset. On subsequent references within the same piece, “the Platform” or “Enyrgy” is acceptable.</w:t>
      </w:r>
    </w:p>
    <w:p w14:paraId="11D95820" w14:textId="77777777" w:rsidR="000A4BF1" w:rsidRDefault="00000000">
      <w:pPr>
        <w:pStyle w:val="BodyText"/>
      </w:pPr>
      <w:r>
        <w:t>Avoid: “Precision Vitamin D Wellness Platform” or any other variant. These names appeared in earlier documents and are no longer canonical.</w:t>
      </w:r>
    </w:p>
    <w:p w14:paraId="5A166F62" w14:textId="77777777" w:rsidR="000A4BF1" w:rsidRDefault="00000000">
      <w:pPr>
        <w:pStyle w:val="Heading3"/>
      </w:pPr>
      <w:bookmarkStart w:id="4" w:name="official-tagline"/>
      <w:bookmarkEnd w:id="3"/>
      <w:r>
        <w:t>Official Tagline</w:t>
      </w:r>
    </w:p>
    <w:p w14:paraId="29BBDF70" w14:textId="77777777" w:rsidR="000A4BF1" w:rsidRDefault="00000000">
      <w:pPr>
        <w:pStyle w:val="FirstParagraph"/>
      </w:pPr>
      <w:r>
        <w:rPr>
          <w:b/>
          <w:bCs/>
        </w:rPr>
        <w:t>“Sunlight. Evolved.”</w:t>
      </w:r>
    </w:p>
    <w:p w14:paraId="2777A78D" w14:textId="77777777" w:rsidR="000A4BF1" w:rsidRDefault="00000000">
      <w:pPr>
        <w:pStyle w:val="BodyText"/>
      </w:pPr>
      <w:r>
        <w:t>Primary sub-tagline, used under the logo and in brand headline contexts. Always rendered in Bely Bold Italic (web fallback: Montserrat SemiBold Italic). The period after “Evolved” is intentional and required.</w:t>
      </w:r>
    </w:p>
    <w:p w14:paraId="34639A39" w14:textId="77777777" w:rsidR="000A4BF1" w:rsidRDefault="00000000">
      <w:pPr>
        <w:pStyle w:val="Heading3"/>
      </w:pPr>
      <w:bookmarkStart w:id="5" w:name="brand-positioning"/>
      <w:bookmarkEnd w:id="4"/>
      <w:r>
        <w:t>Brand Positioning</w:t>
      </w:r>
    </w:p>
    <w:p w14:paraId="6C2059EA" w14:textId="77777777" w:rsidR="000A4BF1" w:rsidRDefault="00000000">
      <w:pPr>
        <w:pStyle w:val="FirstParagraph"/>
      </w:pPr>
      <w:r>
        <w:t xml:space="preserve">Enyrgy is precision wellness technology: a clinically grounded, engineered product for serious buyers. State that positively. Do not define Enyrgy by what it is not, and never name a tanning device or tanning bed in customer-facing copy, even to deny the comparison. Naming it plants it. If a prospect raises the comparison themselves, answer it plainly using the objection script in the knowledge base. Every brand decision should reinforce that this </w:t>
      </w:r>
      <w:r>
        <w:lastRenderedPageBreak/>
        <w:t>is an engineered product for people who manage their biology on purpose. The positioning is peer-to-peer: operator speaking directly to a self-optimizing adult who tracks their labs, manages their biology intentionally, and does not need to be sold to. They need to be informed.</w:t>
      </w:r>
    </w:p>
    <w:p w14:paraId="302664B6" w14:textId="77777777" w:rsidR="000A4BF1" w:rsidRDefault="00000000">
      <w:pPr>
        <w:pStyle w:val="Heading3"/>
      </w:pPr>
      <w:bookmarkStart w:id="6" w:name="brand-essence-in-one-line"/>
      <w:bookmarkEnd w:id="5"/>
      <w:r>
        <w:t>Brand Essence in One Line</w:t>
      </w:r>
    </w:p>
    <w:p w14:paraId="4BF279F3" w14:textId="77777777" w:rsidR="000A4BF1" w:rsidRDefault="00000000">
      <w:pPr>
        <w:pStyle w:val="FirstParagraph"/>
      </w:pPr>
      <w:r>
        <w:t>The intelligence of precision technology. The warmth of the sun. Zero compromise on either.</w:t>
      </w:r>
    </w:p>
    <w:p w14:paraId="303D4555" w14:textId="7A22C158" w:rsidR="000A4BF1" w:rsidRDefault="000A4BF1"/>
    <w:p w14:paraId="3999907E" w14:textId="77777777" w:rsidR="000A4BF1" w:rsidRDefault="00000000">
      <w:pPr>
        <w:pStyle w:val="Heading2"/>
      </w:pPr>
      <w:bookmarkStart w:id="7" w:name="logo-usage"/>
      <w:bookmarkEnd w:id="1"/>
      <w:bookmarkEnd w:id="6"/>
      <w:r>
        <w:t>02 Logo Usage</w:t>
      </w:r>
    </w:p>
    <w:p w14:paraId="5348F79B" w14:textId="77777777" w:rsidR="000A4BF1" w:rsidRDefault="00000000">
      <w:pPr>
        <w:pStyle w:val="FirstParagraph"/>
      </w:pPr>
      <w:r>
        <w:t>The Enyrgy logo consists of the circular arc wordmark (the “e” with sun-arc) plus the ENYRGY logotype. It exists in two layouts and two colorways.</w:t>
      </w:r>
    </w:p>
    <w:p w14:paraId="314FDA3D" w14:textId="77777777" w:rsidR="000A4BF1" w:rsidRDefault="00000000">
      <w:pPr>
        <w:pStyle w:val="Heading3"/>
      </w:pPr>
      <w:bookmarkStart w:id="8" w:name="layouts"/>
      <w:r>
        <w:t>Layouts</w:t>
      </w:r>
    </w:p>
    <w:p w14:paraId="5F742356" w14:textId="77777777" w:rsidR="000A4BF1" w:rsidRDefault="00000000">
      <w:pPr>
        <w:pStyle w:val="FirstParagraph"/>
      </w:pPr>
      <w:r>
        <w:rPr>
          <w:b/>
          <w:bCs/>
        </w:rPr>
        <w:t>Vertical (Primary).</w:t>
      </w:r>
      <w:r>
        <w:t xml:space="preserve"> Mark stacked above logotype. Use for hero placements, standalone brand moments, product labeling, print collateral, social profile images.</w:t>
      </w:r>
    </w:p>
    <w:p w14:paraId="057C7788" w14:textId="77777777" w:rsidR="000A4BF1" w:rsidRDefault="00000000">
      <w:pPr>
        <w:pStyle w:val="BodyText"/>
      </w:pPr>
      <w:r>
        <w:rPr>
          <w:b/>
          <w:bCs/>
        </w:rPr>
        <w:t>Horizontal (Secondary).</w:t>
      </w:r>
      <w:r>
        <w:t xml:space="preserve"> Mark to the left of logotype. Use for website navigation and header bar, email headers, co-branded materials where vertical space is limited.</w:t>
      </w:r>
    </w:p>
    <w:p w14:paraId="1302555B" w14:textId="77777777" w:rsidR="000A4BF1" w:rsidRDefault="00000000">
      <w:pPr>
        <w:pStyle w:val="Heading3"/>
      </w:pPr>
      <w:bookmarkStart w:id="9" w:name="color-variations"/>
      <w:bookmarkEnd w:id="8"/>
      <w:r>
        <w:t>Color Variations</w:t>
      </w:r>
    </w:p>
    <w:p w14:paraId="5B913955" w14:textId="77777777" w:rsidR="000A4BF1" w:rsidRDefault="00000000">
      <w:pPr>
        <w:pStyle w:val="FirstParagraph"/>
      </w:pPr>
      <w:r>
        <w:rPr>
          <w:b/>
          <w:bCs/>
        </w:rPr>
        <w:t>Full Color (Primary).</w:t>
      </w:r>
      <w:r>
        <w:t xml:space="preserve"> Sunrise Orange mark plus logotype on white or Calm Beige background. Default for all digital and print applications.</w:t>
      </w:r>
    </w:p>
    <w:p w14:paraId="6D515156" w14:textId="77777777" w:rsidR="000A4BF1" w:rsidRDefault="00000000">
      <w:pPr>
        <w:pStyle w:val="BodyText"/>
      </w:pPr>
      <w:r>
        <w:rPr>
          <w:b/>
          <w:bCs/>
        </w:rPr>
        <w:t>Reversed (Secondary).</w:t>
      </w:r>
      <w:r>
        <w:t xml:space="preserve"> White mark plus logotype on Sunrise Orange background. Use for orange-background sections, product box, apparel, promotional items.</w:t>
      </w:r>
    </w:p>
    <w:p w14:paraId="63AA39D0" w14:textId="77777777" w:rsidR="000A4BF1" w:rsidRDefault="00000000">
      <w:pPr>
        <w:pStyle w:val="BodyText"/>
      </w:pPr>
      <w:r>
        <w:rPr>
          <w:b/>
          <w:bCs/>
        </w:rPr>
        <w:t>Single-Color Dark.</w:t>
      </w:r>
      <w:r>
        <w:t xml:space="preserve"> Charcoal (#1A1A1A) mark plus logotype on light backgrounds. Use when brand color is not available (newspapers, legal documents, embroidery, laser engraving).</w:t>
      </w:r>
    </w:p>
    <w:p w14:paraId="1478DE38" w14:textId="77777777" w:rsidR="000A4BF1" w:rsidRDefault="00000000">
      <w:pPr>
        <w:pStyle w:val="BodyText"/>
      </w:pPr>
      <w:r>
        <w:rPr>
          <w:b/>
          <w:bCs/>
        </w:rPr>
        <w:t>Single-Color White.</w:t>
      </w:r>
      <w:r>
        <w:t xml:space="preserve"> White mark plus logotype on any dark or photographic background.</w:t>
      </w:r>
    </w:p>
    <w:p w14:paraId="7BF1D545" w14:textId="77777777" w:rsidR="000A4BF1" w:rsidRDefault="00000000">
      <w:pPr>
        <w:pStyle w:val="Heading3"/>
      </w:pPr>
      <w:bookmarkStart w:id="10" w:name="clear-space-and-minimum-size"/>
      <w:bookmarkEnd w:id="9"/>
      <w:r>
        <w:t>Clear Space and Minimum Size</w:t>
      </w:r>
    </w:p>
    <w:p w14:paraId="078FAA7C" w14:textId="77777777" w:rsidR="000A4BF1" w:rsidRDefault="00000000">
      <w:pPr>
        <w:pStyle w:val="FirstParagraph"/>
      </w:pPr>
      <w:r>
        <w:t>Maintain clear space equal to the cap-height of the “E” on all sides. Never crowd the logo with other text or graphic elements. Minimum size: 1.25 inches / 200px wide. Do not reproduce the logo smaller than this.</w:t>
      </w:r>
    </w:p>
    <w:p w14:paraId="2D8C189C" w14:textId="77777777" w:rsidR="000A4BF1" w:rsidRDefault="00000000">
      <w:pPr>
        <w:pStyle w:val="Heading3"/>
      </w:pPr>
      <w:bookmarkStart w:id="11" w:name="logo-donts"/>
      <w:bookmarkEnd w:id="10"/>
      <w:r>
        <w:t>Logo Don’ts</w:t>
      </w:r>
    </w:p>
    <w:p w14:paraId="7298F009" w14:textId="77777777" w:rsidR="000A4BF1" w:rsidRDefault="00000000">
      <w:pPr>
        <w:pStyle w:val="FirstParagraph"/>
      </w:pPr>
      <w:r>
        <w:t xml:space="preserve">Do not recolor the logo outside the approved variations. Do not rotate, skew, stretch, or distort it. Do not add drop shadows, outlines, or effects. Do not place the full-color logo on </w:t>
      </w:r>
      <w:r>
        <w:lastRenderedPageBreak/>
        <w:t>a busy photographic background (use white or single-color instead). Do not recreate the logo in a different font. Do not use the wordmark without the arc mark.</w:t>
      </w:r>
    </w:p>
    <w:p w14:paraId="703D8187" w14:textId="226051AB" w:rsidR="000A4BF1" w:rsidRDefault="000A4BF1"/>
    <w:p w14:paraId="029F066B" w14:textId="77777777" w:rsidR="000A4BF1" w:rsidRDefault="00000000">
      <w:pPr>
        <w:pStyle w:val="Heading2"/>
      </w:pPr>
      <w:bookmarkStart w:id="12" w:name="color-palette"/>
      <w:bookmarkEnd w:id="7"/>
      <w:bookmarkEnd w:id="11"/>
      <w:r>
        <w:t>03 Color Palette</w:t>
      </w:r>
    </w:p>
    <w:p w14:paraId="29C5D96A" w14:textId="77777777" w:rsidR="000A4BF1" w:rsidRDefault="00000000">
      <w:pPr>
        <w:pStyle w:val="FirstParagraph"/>
      </w:pPr>
      <w:r>
        <w:t>The Enyrgy palette is built on two primary brand colors plus a supporting neutral system for digital applications. Both primary colors are unchanged from v1.</w:t>
      </w:r>
    </w:p>
    <w:p w14:paraId="2632873C" w14:textId="77777777" w:rsidR="000A4BF1" w:rsidRDefault="00000000">
      <w:pPr>
        <w:pStyle w:val="Heading3"/>
      </w:pPr>
      <w:bookmarkStart w:id="13" w:name="primary-brand-colors"/>
      <w:r>
        <w:t>Primary Brand Colors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31"/>
        <w:gridCol w:w="1451"/>
        <w:gridCol w:w="2612"/>
        <w:gridCol w:w="1451"/>
        <w:gridCol w:w="2031"/>
      </w:tblGrid>
      <w:tr w:rsidR="000A4BF1" w14:paraId="5A15C190" w14:textId="77777777" w:rsidTr="000A4BF1">
        <w:trPr>
          <w:cnfStyle w:val="100000000000" w:firstRow="1" w:lastRow="0" w:firstColumn="0" w:lastColumn="0" w:oddVBand="0" w:evenVBand="0" w:oddHBand="0" w:evenHBand="0" w:firstRowFirstColumn="0" w:firstRowLastColumn="0" w:lastRowFirstColumn="0" w:lastRowLastColumn="0"/>
          <w:tblHeader/>
        </w:trPr>
        <w:tc>
          <w:tcPr>
            <w:tcW w:w="1680" w:type="dxa"/>
          </w:tcPr>
          <w:p w14:paraId="7B7ADD76" w14:textId="77777777" w:rsidR="000A4BF1" w:rsidRDefault="00000000">
            <w:pPr>
              <w:pStyle w:val="Compact"/>
            </w:pPr>
            <w:r>
              <w:t>Color</w:t>
            </w:r>
          </w:p>
        </w:tc>
        <w:tc>
          <w:tcPr>
            <w:tcW w:w="1200" w:type="dxa"/>
          </w:tcPr>
          <w:p w14:paraId="338F01D0" w14:textId="77777777" w:rsidR="000A4BF1" w:rsidRDefault="00000000">
            <w:pPr>
              <w:pStyle w:val="Compact"/>
            </w:pPr>
            <w:r>
              <w:t>Hex</w:t>
            </w:r>
          </w:p>
        </w:tc>
        <w:tc>
          <w:tcPr>
            <w:tcW w:w="2160" w:type="dxa"/>
          </w:tcPr>
          <w:p w14:paraId="10454B7A" w14:textId="77777777" w:rsidR="000A4BF1" w:rsidRDefault="00000000">
            <w:pPr>
              <w:pStyle w:val="Compact"/>
            </w:pPr>
            <w:r>
              <w:t>Pantone</w:t>
            </w:r>
          </w:p>
        </w:tc>
        <w:tc>
          <w:tcPr>
            <w:tcW w:w="1200" w:type="dxa"/>
          </w:tcPr>
          <w:p w14:paraId="4D6D42AA" w14:textId="77777777" w:rsidR="000A4BF1" w:rsidRDefault="00000000">
            <w:pPr>
              <w:pStyle w:val="Compact"/>
            </w:pPr>
            <w:r>
              <w:t>RGB</w:t>
            </w:r>
          </w:p>
        </w:tc>
        <w:tc>
          <w:tcPr>
            <w:tcW w:w="1680" w:type="dxa"/>
          </w:tcPr>
          <w:p w14:paraId="73A34833" w14:textId="77777777" w:rsidR="000A4BF1" w:rsidRDefault="00000000">
            <w:pPr>
              <w:pStyle w:val="Compact"/>
            </w:pPr>
            <w:r>
              <w:t>Usage</w:t>
            </w:r>
          </w:p>
        </w:tc>
      </w:tr>
      <w:tr w:rsidR="000A4BF1" w14:paraId="6C5F1F7E" w14:textId="77777777">
        <w:tc>
          <w:tcPr>
            <w:tcW w:w="1680" w:type="dxa"/>
          </w:tcPr>
          <w:p w14:paraId="0FAFA6E1" w14:textId="77777777" w:rsidR="000A4BF1" w:rsidRDefault="00000000">
            <w:pPr>
              <w:pStyle w:val="Compact"/>
            </w:pPr>
            <w:r>
              <w:t>Sunrise Orange</w:t>
            </w:r>
          </w:p>
        </w:tc>
        <w:tc>
          <w:tcPr>
            <w:tcW w:w="1200" w:type="dxa"/>
          </w:tcPr>
          <w:p w14:paraId="60A1B8FD" w14:textId="77777777" w:rsidR="000A4BF1" w:rsidRDefault="00000000">
            <w:pPr>
              <w:pStyle w:val="Compact"/>
            </w:pPr>
            <w:r>
              <w:t>#E64C38</w:t>
            </w:r>
          </w:p>
        </w:tc>
        <w:tc>
          <w:tcPr>
            <w:tcW w:w="2160" w:type="dxa"/>
          </w:tcPr>
          <w:p w14:paraId="3742A50B" w14:textId="77777777" w:rsidR="000A4BF1" w:rsidRDefault="00000000">
            <w:pPr>
              <w:pStyle w:val="Compact"/>
            </w:pPr>
            <w:r>
              <w:t>P 45-6 U</w:t>
            </w:r>
          </w:p>
        </w:tc>
        <w:tc>
          <w:tcPr>
            <w:tcW w:w="1200" w:type="dxa"/>
          </w:tcPr>
          <w:p w14:paraId="12C25663" w14:textId="77777777" w:rsidR="000A4BF1" w:rsidRDefault="00000000">
            <w:pPr>
              <w:pStyle w:val="Compact"/>
            </w:pPr>
            <w:r>
              <w:t>230 / 76 / 56</w:t>
            </w:r>
          </w:p>
        </w:tc>
        <w:tc>
          <w:tcPr>
            <w:tcW w:w="1680" w:type="dxa"/>
          </w:tcPr>
          <w:p w14:paraId="4478E111" w14:textId="77777777" w:rsidR="000A4BF1" w:rsidRDefault="00000000">
            <w:pPr>
              <w:pStyle w:val="Compact"/>
            </w:pPr>
            <w:r>
              <w:t>CTAs, buttons, key stats, accent lines, logo, orange-field sections</w:t>
            </w:r>
          </w:p>
        </w:tc>
      </w:tr>
      <w:tr w:rsidR="000A4BF1" w14:paraId="5C7643BF" w14:textId="77777777">
        <w:tc>
          <w:tcPr>
            <w:tcW w:w="1680" w:type="dxa"/>
          </w:tcPr>
          <w:p w14:paraId="18480835" w14:textId="77777777" w:rsidR="000A4BF1" w:rsidRDefault="00000000">
            <w:pPr>
              <w:pStyle w:val="Compact"/>
            </w:pPr>
            <w:r>
              <w:t>Calm Beige</w:t>
            </w:r>
          </w:p>
        </w:tc>
        <w:tc>
          <w:tcPr>
            <w:tcW w:w="1200" w:type="dxa"/>
          </w:tcPr>
          <w:p w14:paraId="1E6F8E3B" w14:textId="77777777" w:rsidR="000A4BF1" w:rsidRDefault="00000000">
            <w:pPr>
              <w:pStyle w:val="Compact"/>
            </w:pPr>
            <w:r>
              <w:t>#ECE4CF</w:t>
            </w:r>
          </w:p>
        </w:tc>
        <w:tc>
          <w:tcPr>
            <w:tcW w:w="2160" w:type="dxa"/>
          </w:tcPr>
          <w:p w14:paraId="38B03105" w14:textId="77777777" w:rsidR="000A4BF1" w:rsidRDefault="00000000">
            <w:pPr>
              <w:pStyle w:val="Compact"/>
            </w:pPr>
            <w:r>
              <w:t>P 8-9 U</w:t>
            </w:r>
          </w:p>
        </w:tc>
        <w:tc>
          <w:tcPr>
            <w:tcW w:w="1200" w:type="dxa"/>
          </w:tcPr>
          <w:p w14:paraId="5A556083" w14:textId="77777777" w:rsidR="000A4BF1" w:rsidRDefault="00000000">
            <w:pPr>
              <w:pStyle w:val="Compact"/>
            </w:pPr>
            <w:r>
              <w:t>236 / 228 / 207</w:t>
            </w:r>
          </w:p>
        </w:tc>
        <w:tc>
          <w:tcPr>
            <w:tcW w:w="1680" w:type="dxa"/>
          </w:tcPr>
          <w:p w14:paraId="18645750" w14:textId="77777777" w:rsidR="000A4BF1" w:rsidRDefault="00000000">
            <w:pPr>
              <w:pStyle w:val="Compact"/>
            </w:pPr>
            <w:r>
              <w:t>Section backgrounds, cards, tinted panels, print collateral body areas</w:t>
            </w:r>
          </w:p>
        </w:tc>
      </w:tr>
    </w:tbl>
    <w:p w14:paraId="4011CC41" w14:textId="77777777" w:rsidR="000A4BF1" w:rsidRDefault="00000000">
      <w:pPr>
        <w:pStyle w:val="Heading3"/>
      </w:pPr>
      <w:bookmarkStart w:id="14" w:name="supporting-colors-new-in-v2.0"/>
      <w:bookmarkEnd w:id="13"/>
      <w:r>
        <w:t>Supporting Colors (New in v2.0)</w:t>
      </w:r>
    </w:p>
    <w:p w14:paraId="05D5B99A" w14:textId="77777777" w:rsidR="000A4BF1" w:rsidRDefault="00000000">
      <w:pPr>
        <w:pStyle w:val="FirstParagraph"/>
      </w:pPr>
      <w:r>
        <w:t>Added for digital UI. They do not replace the primary colors, they work alongside them.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93"/>
        <w:gridCol w:w="1995"/>
        <w:gridCol w:w="1995"/>
        <w:gridCol w:w="2793"/>
      </w:tblGrid>
      <w:tr w:rsidR="000A4BF1" w14:paraId="3FDC1F9D" w14:textId="77777777" w:rsidTr="000A4BF1">
        <w:trPr>
          <w:cnfStyle w:val="100000000000" w:firstRow="1" w:lastRow="0" w:firstColumn="0" w:lastColumn="0" w:oddVBand="0" w:evenVBand="0" w:oddHBand="0" w:evenHBand="0" w:firstRowFirstColumn="0" w:firstRowLastColumn="0" w:lastRowFirstColumn="0" w:lastRowLastColumn="0"/>
          <w:tblHeader/>
        </w:trPr>
        <w:tc>
          <w:tcPr>
            <w:tcW w:w="2310" w:type="dxa"/>
          </w:tcPr>
          <w:p w14:paraId="733DF034" w14:textId="77777777" w:rsidR="000A4BF1" w:rsidRDefault="00000000">
            <w:pPr>
              <w:pStyle w:val="Compact"/>
            </w:pPr>
            <w:r>
              <w:t>Color</w:t>
            </w:r>
          </w:p>
        </w:tc>
        <w:tc>
          <w:tcPr>
            <w:tcW w:w="1650" w:type="dxa"/>
          </w:tcPr>
          <w:p w14:paraId="2A3501FD" w14:textId="77777777" w:rsidR="000A4BF1" w:rsidRDefault="00000000">
            <w:pPr>
              <w:pStyle w:val="Compact"/>
            </w:pPr>
            <w:r>
              <w:t>Hex</w:t>
            </w:r>
          </w:p>
        </w:tc>
        <w:tc>
          <w:tcPr>
            <w:tcW w:w="1650" w:type="dxa"/>
          </w:tcPr>
          <w:p w14:paraId="4E9A0D91" w14:textId="77777777" w:rsidR="000A4BF1" w:rsidRDefault="00000000">
            <w:pPr>
              <w:pStyle w:val="Compact"/>
            </w:pPr>
            <w:r>
              <w:t>RGB</w:t>
            </w:r>
          </w:p>
        </w:tc>
        <w:tc>
          <w:tcPr>
            <w:tcW w:w="2310" w:type="dxa"/>
          </w:tcPr>
          <w:p w14:paraId="07075888" w14:textId="77777777" w:rsidR="000A4BF1" w:rsidRDefault="00000000">
            <w:pPr>
              <w:pStyle w:val="Compact"/>
            </w:pPr>
            <w:r>
              <w:t>Usage</w:t>
            </w:r>
          </w:p>
        </w:tc>
      </w:tr>
      <w:tr w:rsidR="000A4BF1" w14:paraId="5B499ABB" w14:textId="77777777">
        <w:tc>
          <w:tcPr>
            <w:tcW w:w="2310" w:type="dxa"/>
          </w:tcPr>
          <w:p w14:paraId="7AB5AB70" w14:textId="77777777" w:rsidR="000A4BF1" w:rsidRDefault="00000000">
            <w:pPr>
              <w:pStyle w:val="Compact"/>
            </w:pPr>
            <w:r>
              <w:t>Deep Charcoal</w:t>
            </w:r>
          </w:p>
        </w:tc>
        <w:tc>
          <w:tcPr>
            <w:tcW w:w="1650" w:type="dxa"/>
          </w:tcPr>
          <w:p w14:paraId="267EECFD" w14:textId="77777777" w:rsidR="000A4BF1" w:rsidRDefault="00000000">
            <w:pPr>
              <w:pStyle w:val="Compact"/>
            </w:pPr>
            <w:r>
              <w:t>#1A1A1A</w:t>
            </w:r>
          </w:p>
        </w:tc>
        <w:tc>
          <w:tcPr>
            <w:tcW w:w="1650" w:type="dxa"/>
          </w:tcPr>
          <w:p w14:paraId="6E565EC7" w14:textId="77777777" w:rsidR="000A4BF1" w:rsidRDefault="00000000">
            <w:pPr>
              <w:pStyle w:val="Compact"/>
            </w:pPr>
            <w:r>
              <w:t>26 / 26 / 26</w:t>
            </w:r>
          </w:p>
        </w:tc>
        <w:tc>
          <w:tcPr>
            <w:tcW w:w="2310" w:type="dxa"/>
          </w:tcPr>
          <w:p w14:paraId="027EF354" w14:textId="77777777" w:rsidR="000A4BF1" w:rsidRDefault="00000000">
            <w:pPr>
              <w:pStyle w:val="Compact"/>
            </w:pPr>
            <w:r>
              <w:t>Dark-section backgrounds, body text on light backgrounds, footer areas</w:t>
            </w:r>
          </w:p>
        </w:tc>
      </w:tr>
      <w:tr w:rsidR="000A4BF1" w14:paraId="2A0AC01D" w14:textId="77777777">
        <w:tc>
          <w:tcPr>
            <w:tcW w:w="2310" w:type="dxa"/>
          </w:tcPr>
          <w:p w14:paraId="31C1E123" w14:textId="77777777" w:rsidR="000A4BF1" w:rsidRDefault="00000000">
            <w:pPr>
              <w:pStyle w:val="Compact"/>
            </w:pPr>
            <w:r>
              <w:t>Pure White</w:t>
            </w:r>
          </w:p>
        </w:tc>
        <w:tc>
          <w:tcPr>
            <w:tcW w:w="1650" w:type="dxa"/>
          </w:tcPr>
          <w:p w14:paraId="75E6C717" w14:textId="77777777" w:rsidR="000A4BF1" w:rsidRDefault="00000000">
            <w:pPr>
              <w:pStyle w:val="Compact"/>
            </w:pPr>
            <w:r>
              <w:t>#FFFFFF</w:t>
            </w:r>
          </w:p>
        </w:tc>
        <w:tc>
          <w:tcPr>
            <w:tcW w:w="1650" w:type="dxa"/>
          </w:tcPr>
          <w:p w14:paraId="3170B338" w14:textId="77777777" w:rsidR="000A4BF1" w:rsidRDefault="00000000">
            <w:pPr>
              <w:pStyle w:val="Compact"/>
            </w:pPr>
            <w:r>
              <w:t>255 / 255 / 255</w:t>
            </w:r>
          </w:p>
        </w:tc>
        <w:tc>
          <w:tcPr>
            <w:tcW w:w="2310" w:type="dxa"/>
          </w:tcPr>
          <w:p w14:paraId="4B983A8B" w14:textId="77777777" w:rsidR="000A4BF1" w:rsidRDefault="00000000">
            <w:pPr>
              <w:pStyle w:val="Compact"/>
            </w:pPr>
            <w:r>
              <w:t>Primary page background, white-field sections, reversed text</w:t>
            </w:r>
          </w:p>
        </w:tc>
      </w:tr>
      <w:tr w:rsidR="000A4BF1" w14:paraId="65D063E7" w14:textId="77777777">
        <w:tc>
          <w:tcPr>
            <w:tcW w:w="2310" w:type="dxa"/>
          </w:tcPr>
          <w:p w14:paraId="7978D54C" w14:textId="77777777" w:rsidR="000A4BF1" w:rsidRDefault="00000000">
            <w:pPr>
              <w:pStyle w:val="Compact"/>
            </w:pPr>
            <w:r>
              <w:t>Warm Off-White</w:t>
            </w:r>
          </w:p>
        </w:tc>
        <w:tc>
          <w:tcPr>
            <w:tcW w:w="1650" w:type="dxa"/>
          </w:tcPr>
          <w:p w14:paraId="2B9BD0BA" w14:textId="77777777" w:rsidR="000A4BF1" w:rsidRDefault="00000000">
            <w:pPr>
              <w:pStyle w:val="Compact"/>
            </w:pPr>
            <w:r>
              <w:t>#F7F4EE</w:t>
            </w:r>
          </w:p>
        </w:tc>
        <w:tc>
          <w:tcPr>
            <w:tcW w:w="1650" w:type="dxa"/>
          </w:tcPr>
          <w:p w14:paraId="13A33CAD" w14:textId="77777777" w:rsidR="000A4BF1" w:rsidRDefault="00000000">
            <w:pPr>
              <w:pStyle w:val="Compact"/>
            </w:pPr>
            <w:r>
              <w:t>247 / 244 / 238</w:t>
            </w:r>
          </w:p>
        </w:tc>
        <w:tc>
          <w:tcPr>
            <w:tcW w:w="2310" w:type="dxa"/>
          </w:tcPr>
          <w:p w14:paraId="785B68CC" w14:textId="77777777" w:rsidR="000A4BF1" w:rsidRDefault="00000000">
            <w:pPr>
              <w:pStyle w:val="Compact"/>
            </w:pPr>
            <w:r>
              <w:t>Subtle section differentiation, warmer alternative to pure white</w:t>
            </w:r>
          </w:p>
        </w:tc>
      </w:tr>
    </w:tbl>
    <w:p w14:paraId="06957042" w14:textId="77777777" w:rsidR="000A4BF1" w:rsidRDefault="00000000">
      <w:pPr>
        <w:pStyle w:val="Heading3"/>
      </w:pPr>
      <w:bookmarkStart w:id="15" w:name="color-application-ratios"/>
      <w:bookmarkEnd w:id="14"/>
      <w:r>
        <w:t>Color Application Ratios</w:t>
      </w:r>
    </w:p>
    <w:p w14:paraId="2E005790" w14:textId="77777777" w:rsidR="000A4BF1" w:rsidRDefault="00000000">
      <w:pPr>
        <w:pStyle w:val="FirstParagraph"/>
      </w:pPr>
      <w:r>
        <w:rPr>
          <w:b/>
          <w:bCs/>
        </w:rPr>
        <w:t>Print / Packaging (unchanged from v1):</w:t>
      </w:r>
      <w:r>
        <w:t xml:space="preserve"> 80% Sunrise Orange, 20% Calm Beige. Orange is dominant where brand recognition is the objective.</w:t>
      </w:r>
    </w:p>
    <w:p w14:paraId="5E2C0302" w14:textId="77777777" w:rsidR="000A4BF1" w:rsidRDefault="00000000">
      <w:pPr>
        <w:pStyle w:val="BodyText"/>
      </w:pPr>
      <w:r>
        <w:rPr>
          <w:b/>
          <w:bCs/>
        </w:rPr>
        <w:lastRenderedPageBreak/>
        <w:t>Digital / Website (updated in v2.0):</w:t>
      </w:r>
      <w:r>
        <w:t xml:space="preserve"> the ratio inverts. White and Warm Off-White carry 60 to 70% of the page area. Calm Beige sections add warmth at 15 to 20%. Sunrise Orange is the power accent: buttons, key statistics, section markers, underlines, and CTAs. Charcoal handles dark hero sections and the footer.</w:t>
      </w:r>
    </w:p>
    <w:p w14:paraId="597C3971" w14:textId="77777777" w:rsidR="000A4BF1" w:rsidRDefault="00000000">
      <w:pPr>
        <w:pStyle w:val="BodyText"/>
      </w:pPr>
      <w:r>
        <w:t>Why the change: a $2,995 precision technology product needs white space to signal premium and clinical credibility. Orange-dominant digital layouts read as consumer wellness, not precision technology. The color is unchanged, only its web application ratio has evolved.</w:t>
      </w:r>
    </w:p>
    <w:p w14:paraId="0DB49C77" w14:textId="77777777" w:rsidR="000A4BF1" w:rsidRDefault="00000000">
      <w:pPr>
        <w:pStyle w:val="Heading3"/>
      </w:pPr>
      <w:bookmarkStart w:id="16" w:name="color-donts"/>
      <w:bookmarkEnd w:id="15"/>
      <w:r>
        <w:t>Color Don’ts</w:t>
      </w:r>
    </w:p>
    <w:p w14:paraId="64E330BC" w14:textId="77777777" w:rsidR="000A4BF1" w:rsidRDefault="00000000">
      <w:pPr>
        <w:pStyle w:val="FirstParagraph"/>
      </w:pPr>
      <w:r>
        <w:t>Do not introduce colors outside this palette without brand approval. Do not place Sunrise Orange text on Calm Beige backgrounds (contrast is insufficient for accessibility). Do not use gradients or tints of the primary brand colors. Do not use Sunrise Orange for large background areas on the website (use it sparingly and intentionally for impact).</w:t>
      </w:r>
    </w:p>
    <w:p w14:paraId="7AD17C47" w14:textId="6429DAF8" w:rsidR="000A4BF1" w:rsidRDefault="000A4BF1"/>
    <w:p w14:paraId="5199A3C8" w14:textId="77777777" w:rsidR="000A4BF1" w:rsidRDefault="00000000">
      <w:pPr>
        <w:pStyle w:val="Heading2"/>
      </w:pPr>
      <w:bookmarkStart w:id="17" w:name="typography"/>
      <w:bookmarkEnd w:id="12"/>
      <w:bookmarkEnd w:id="16"/>
      <w:r>
        <w:t>04 Typography</w:t>
      </w:r>
    </w:p>
    <w:p w14:paraId="0E2D1064" w14:textId="77777777" w:rsidR="000A4BF1" w:rsidRDefault="00000000">
      <w:pPr>
        <w:pStyle w:val="FirstParagraph"/>
      </w:pPr>
      <w:r>
        <w:t>Enyrgy uses a two-font system: Montserrat as the primary brand typeface for all headlines, body copy, UI text, and navigation; Bely Bold Italic as the editorial accent for subheads and callouts. Together they balance precision (Montserrat’s clean geometry) with warmth and distinction (Bely’s editorial personality).</w:t>
      </w:r>
    </w:p>
    <w:p w14:paraId="71DA92E8" w14:textId="77777777" w:rsidR="000A4BF1" w:rsidRDefault="00000000">
      <w:pPr>
        <w:pStyle w:val="BodyText"/>
      </w:pPr>
      <w:r>
        <w:t>Note on Montserrat vs Red Hat Display: Montserrat replaces Red Hat Display as the primary brand typeface in v2.0, for its wider weight range (9 weights, Thin to Black), superior digital hinting, broader system availability, and stronger support for data-heavy layouts. It is free on Google Fonts and requires no license for web or print.</w:t>
      </w:r>
    </w:p>
    <w:p w14:paraId="6942D287" w14:textId="77777777" w:rsidR="000A4BF1" w:rsidRDefault="00000000">
      <w:pPr>
        <w:pStyle w:val="Heading3"/>
      </w:pPr>
      <w:bookmarkStart w:id="18" w:name="primary-typeface-montserrat"/>
      <w:r>
        <w:t>Primary Typeface: Montserrat</w:t>
      </w:r>
    </w:p>
    <w:p w14:paraId="439375CF" w14:textId="77777777" w:rsidR="000A4BF1" w:rsidRDefault="00000000">
      <w:pPr>
        <w:pStyle w:val="FirstParagraph"/>
      </w:pPr>
      <w:r>
        <w:t>Google Fonts, free, no licensing required. Download: fonts.google.com/specimen/Montserrat</w:t>
      </w:r>
    </w:p>
    <w:p w14:paraId="0B1B6E34" w14:textId="77777777" w:rsidR="000A4BF1" w:rsidRDefault="00000000">
      <w:pPr>
        <w:pStyle w:val="BodyText"/>
      </w:pPr>
      <w:r>
        <w:rPr>
          <w:b/>
          <w:bCs/>
        </w:rPr>
        <w:t>Typography scale, web (px):</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47"/>
        <w:gridCol w:w="2612"/>
        <w:gridCol w:w="3917"/>
      </w:tblGrid>
      <w:tr w:rsidR="000A4BF1" w14:paraId="1050BD9B" w14:textId="77777777" w:rsidTr="000A4BF1">
        <w:trPr>
          <w:cnfStyle w:val="100000000000" w:firstRow="1" w:lastRow="0" w:firstColumn="0" w:lastColumn="0" w:oddVBand="0" w:evenVBand="0" w:oddHBand="0" w:evenHBand="0" w:firstRowFirstColumn="0" w:firstRowLastColumn="0" w:lastRowFirstColumn="0" w:lastRowLastColumn="0"/>
          <w:tblHeader/>
        </w:trPr>
        <w:tc>
          <w:tcPr>
            <w:tcW w:w="2520" w:type="dxa"/>
          </w:tcPr>
          <w:p w14:paraId="365F78DD" w14:textId="77777777" w:rsidR="000A4BF1" w:rsidRDefault="00000000">
            <w:pPr>
              <w:pStyle w:val="Compact"/>
            </w:pPr>
            <w:r>
              <w:t>Level</w:t>
            </w:r>
          </w:p>
        </w:tc>
        <w:tc>
          <w:tcPr>
            <w:tcW w:w="2160" w:type="dxa"/>
          </w:tcPr>
          <w:p w14:paraId="07AC8411" w14:textId="77777777" w:rsidR="000A4BF1" w:rsidRDefault="00000000">
            <w:pPr>
              <w:pStyle w:val="Compact"/>
            </w:pPr>
            <w:r>
              <w:t>Size</w:t>
            </w:r>
          </w:p>
        </w:tc>
        <w:tc>
          <w:tcPr>
            <w:tcW w:w="3240" w:type="dxa"/>
          </w:tcPr>
          <w:p w14:paraId="0053221F" w14:textId="77777777" w:rsidR="000A4BF1" w:rsidRDefault="00000000">
            <w:pPr>
              <w:pStyle w:val="Compact"/>
            </w:pPr>
            <w:r>
              <w:t>Example</w:t>
            </w:r>
          </w:p>
        </w:tc>
      </w:tr>
      <w:tr w:rsidR="000A4BF1" w14:paraId="3298130F" w14:textId="77777777">
        <w:tc>
          <w:tcPr>
            <w:tcW w:w="2520" w:type="dxa"/>
          </w:tcPr>
          <w:p w14:paraId="04869B96" w14:textId="77777777" w:rsidR="000A4BF1" w:rsidRDefault="00000000">
            <w:pPr>
              <w:pStyle w:val="Compact"/>
            </w:pPr>
            <w:r>
              <w:t>Hero H1</w:t>
            </w:r>
          </w:p>
        </w:tc>
        <w:tc>
          <w:tcPr>
            <w:tcW w:w="2160" w:type="dxa"/>
          </w:tcPr>
          <w:p w14:paraId="3B0B74C8" w14:textId="77777777" w:rsidR="000A4BF1" w:rsidRDefault="00000000">
            <w:pPr>
              <w:pStyle w:val="Compact"/>
            </w:pPr>
            <w:r>
              <w:t>52</w:t>
            </w:r>
          </w:p>
        </w:tc>
        <w:tc>
          <w:tcPr>
            <w:tcW w:w="3240" w:type="dxa"/>
          </w:tcPr>
          <w:p w14:paraId="418BFDE5" w14:textId="77777777" w:rsidR="000A4BF1" w:rsidRDefault="00000000">
            <w:pPr>
              <w:pStyle w:val="Compact"/>
            </w:pPr>
            <w:r>
              <w:t>Precision phototherapy.</w:t>
            </w:r>
          </w:p>
        </w:tc>
      </w:tr>
      <w:tr w:rsidR="000A4BF1" w14:paraId="0D60F16F" w14:textId="77777777">
        <w:tc>
          <w:tcPr>
            <w:tcW w:w="2520" w:type="dxa"/>
          </w:tcPr>
          <w:p w14:paraId="0F1FEA43" w14:textId="77777777" w:rsidR="000A4BF1" w:rsidRDefault="00000000">
            <w:pPr>
              <w:pStyle w:val="Compact"/>
            </w:pPr>
            <w:r>
              <w:t>Page H1</w:t>
            </w:r>
          </w:p>
        </w:tc>
        <w:tc>
          <w:tcPr>
            <w:tcW w:w="2160" w:type="dxa"/>
          </w:tcPr>
          <w:p w14:paraId="566ACE93" w14:textId="77777777" w:rsidR="000A4BF1" w:rsidRDefault="00000000">
            <w:pPr>
              <w:pStyle w:val="Compact"/>
            </w:pPr>
            <w:r>
              <w:t>40</w:t>
            </w:r>
          </w:p>
        </w:tc>
        <w:tc>
          <w:tcPr>
            <w:tcW w:w="3240" w:type="dxa"/>
          </w:tcPr>
          <w:p w14:paraId="5A83CD1E" w14:textId="77777777" w:rsidR="000A4BF1" w:rsidRDefault="00000000">
            <w:pPr>
              <w:pStyle w:val="Compact"/>
            </w:pPr>
            <w:r>
              <w:t>The way nature intended.</w:t>
            </w:r>
          </w:p>
        </w:tc>
      </w:tr>
      <w:tr w:rsidR="000A4BF1" w14:paraId="42A67215" w14:textId="77777777">
        <w:tc>
          <w:tcPr>
            <w:tcW w:w="2520" w:type="dxa"/>
          </w:tcPr>
          <w:p w14:paraId="5B1AFAA0" w14:textId="77777777" w:rsidR="000A4BF1" w:rsidRDefault="00000000">
            <w:pPr>
              <w:pStyle w:val="Compact"/>
            </w:pPr>
            <w:r>
              <w:t>Section H2</w:t>
            </w:r>
          </w:p>
        </w:tc>
        <w:tc>
          <w:tcPr>
            <w:tcW w:w="2160" w:type="dxa"/>
          </w:tcPr>
          <w:p w14:paraId="350DBB05" w14:textId="77777777" w:rsidR="000A4BF1" w:rsidRDefault="00000000">
            <w:pPr>
              <w:pStyle w:val="Compact"/>
            </w:pPr>
            <w:r>
              <w:t>28</w:t>
            </w:r>
          </w:p>
        </w:tc>
        <w:tc>
          <w:tcPr>
            <w:tcW w:w="3240" w:type="dxa"/>
          </w:tcPr>
          <w:p w14:paraId="6ACC820F" w14:textId="77777777" w:rsidR="000A4BF1" w:rsidRDefault="00000000">
            <w:pPr>
              <w:pStyle w:val="Compact"/>
            </w:pPr>
            <w:r>
              <w:t>Triple-Pathway Advantage.</w:t>
            </w:r>
          </w:p>
        </w:tc>
      </w:tr>
      <w:tr w:rsidR="000A4BF1" w14:paraId="181AD8C6" w14:textId="77777777">
        <w:tc>
          <w:tcPr>
            <w:tcW w:w="2520" w:type="dxa"/>
          </w:tcPr>
          <w:p w14:paraId="06737A68" w14:textId="77777777" w:rsidR="000A4BF1" w:rsidRDefault="00000000">
            <w:pPr>
              <w:pStyle w:val="Compact"/>
            </w:pPr>
            <w:r>
              <w:t>Subsection H3</w:t>
            </w:r>
          </w:p>
        </w:tc>
        <w:tc>
          <w:tcPr>
            <w:tcW w:w="2160" w:type="dxa"/>
          </w:tcPr>
          <w:p w14:paraId="172B950A" w14:textId="77777777" w:rsidR="000A4BF1" w:rsidRDefault="00000000">
            <w:pPr>
              <w:pStyle w:val="Compact"/>
            </w:pPr>
            <w:r>
              <w:t>22</w:t>
            </w:r>
          </w:p>
        </w:tc>
        <w:tc>
          <w:tcPr>
            <w:tcW w:w="3240" w:type="dxa"/>
          </w:tcPr>
          <w:p w14:paraId="7E016F61" w14:textId="77777777" w:rsidR="000A4BF1" w:rsidRDefault="00000000">
            <w:pPr>
              <w:pStyle w:val="Compact"/>
            </w:pPr>
            <w:r>
              <w:t>Vitamin D Synthesis (UVB)</w:t>
            </w:r>
          </w:p>
        </w:tc>
      </w:tr>
      <w:tr w:rsidR="000A4BF1" w14:paraId="36CA84DF" w14:textId="77777777">
        <w:tc>
          <w:tcPr>
            <w:tcW w:w="2520" w:type="dxa"/>
          </w:tcPr>
          <w:p w14:paraId="58FAD30F" w14:textId="77777777" w:rsidR="000A4BF1" w:rsidRDefault="00000000">
            <w:pPr>
              <w:pStyle w:val="Compact"/>
            </w:pPr>
            <w:r>
              <w:t>Body Regular</w:t>
            </w:r>
          </w:p>
        </w:tc>
        <w:tc>
          <w:tcPr>
            <w:tcW w:w="2160" w:type="dxa"/>
          </w:tcPr>
          <w:p w14:paraId="297FC9F5" w14:textId="77777777" w:rsidR="000A4BF1" w:rsidRDefault="00000000">
            <w:pPr>
              <w:pStyle w:val="Compact"/>
            </w:pPr>
            <w:r>
              <w:t>16</w:t>
            </w:r>
          </w:p>
        </w:tc>
        <w:tc>
          <w:tcPr>
            <w:tcW w:w="3240" w:type="dxa"/>
          </w:tcPr>
          <w:p w14:paraId="267377E0" w14:textId="77777777" w:rsidR="000A4BF1" w:rsidRDefault="00000000">
            <w:pPr>
              <w:pStyle w:val="Compact"/>
            </w:pPr>
            <w:r>
              <w:t>Your body creates vitamin D. It does not absorb it.</w:t>
            </w:r>
          </w:p>
        </w:tc>
      </w:tr>
      <w:tr w:rsidR="000A4BF1" w14:paraId="696FC365" w14:textId="77777777">
        <w:tc>
          <w:tcPr>
            <w:tcW w:w="2520" w:type="dxa"/>
          </w:tcPr>
          <w:p w14:paraId="12583735" w14:textId="77777777" w:rsidR="000A4BF1" w:rsidRDefault="00000000">
            <w:pPr>
              <w:pStyle w:val="Compact"/>
            </w:pPr>
            <w:r>
              <w:lastRenderedPageBreak/>
              <w:t>Body Bold</w:t>
            </w:r>
          </w:p>
        </w:tc>
        <w:tc>
          <w:tcPr>
            <w:tcW w:w="2160" w:type="dxa"/>
          </w:tcPr>
          <w:p w14:paraId="5D4A97B6" w14:textId="77777777" w:rsidR="000A4BF1" w:rsidRDefault="00000000">
            <w:pPr>
              <w:pStyle w:val="Compact"/>
            </w:pPr>
            <w:r>
              <w:t>16 Bold</w:t>
            </w:r>
          </w:p>
        </w:tc>
        <w:tc>
          <w:tcPr>
            <w:tcW w:w="3240" w:type="dxa"/>
          </w:tcPr>
          <w:p w14:paraId="11AB0872" w14:textId="77777777" w:rsidR="000A4BF1" w:rsidRDefault="00000000">
            <w:pPr>
              <w:pStyle w:val="Compact"/>
            </w:pPr>
            <w:r>
              <w:t>Average baseline: 39.96 ng/mL</w:t>
            </w:r>
          </w:p>
        </w:tc>
      </w:tr>
      <w:tr w:rsidR="000A4BF1" w14:paraId="785F40FA" w14:textId="77777777">
        <w:tc>
          <w:tcPr>
            <w:tcW w:w="2520" w:type="dxa"/>
          </w:tcPr>
          <w:p w14:paraId="7FA7EC8E" w14:textId="77777777" w:rsidR="000A4BF1" w:rsidRDefault="00000000">
            <w:pPr>
              <w:pStyle w:val="Compact"/>
            </w:pPr>
            <w:r>
              <w:t>Label / Caption</w:t>
            </w:r>
          </w:p>
        </w:tc>
        <w:tc>
          <w:tcPr>
            <w:tcW w:w="2160" w:type="dxa"/>
          </w:tcPr>
          <w:p w14:paraId="682AEEE2" w14:textId="77777777" w:rsidR="000A4BF1" w:rsidRDefault="00000000">
            <w:pPr>
              <w:pStyle w:val="Compact"/>
            </w:pPr>
            <w:r>
              <w:t>12 SemiBold</w:t>
            </w:r>
          </w:p>
        </w:tc>
        <w:tc>
          <w:tcPr>
            <w:tcW w:w="3240" w:type="dxa"/>
          </w:tcPr>
          <w:p w14:paraId="521B3223" w14:textId="77777777" w:rsidR="000A4BF1" w:rsidRDefault="00000000">
            <w:pPr>
              <w:pStyle w:val="Compact"/>
            </w:pPr>
            <w:r>
              <w:t>TRIPLE-PATHWAY ADVANTAGE</w:t>
            </w:r>
          </w:p>
        </w:tc>
      </w:tr>
      <w:tr w:rsidR="000A4BF1" w14:paraId="05B865A5" w14:textId="77777777">
        <w:tc>
          <w:tcPr>
            <w:tcW w:w="2520" w:type="dxa"/>
          </w:tcPr>
          <w:p w14:paraId="794CB5F8" w14:textId="77777777" w:rsidR="000A4BF1" w:rsidRDefault="00000000">
            <w:pPr>
              <w:pStyle w:val="Compact"/>
            </w:pPr>
            <w:r>
              <w:t>Button / CTA</w:t>
            </w:r>
          </w:p>
        </w:tc>
        <w:tc>
          <w:tcPr>
            <w:tcW w:w="2160" w:type="dxa"/>
          </w:tcPr>
          <w:p w14:paraId="0EEDF4BE" w14:textId="77777777" w:rsidR="000A4BF1" w:rsidRDefault="00000000">
            <w:pPr>
              <w:pStyle w:val="Compact"/>
            </w:pPr>
            <w:r>
              <w:t>14 Bold</w:t>
            </w:r>
          </w:p>
        </w:tc>
        <w:tc>
          <w:tcPr>
            <w:tcW w:w="3240" w:type="dxa"/>
          </w:tcPr>
          <w:p w14:paraId="59D2C40F" w14:textId="77777777" w:rsidR="000A4BF1" w:rsidRDefault="00000000">
            <w:pPr>
              <w:pStyle w:val="Compact"/>
            </w:pPr>
            <w:r>
              <w:t>Get Yours</w:t>
            </w:r>
          </w:p>
        </w:tc>
      </w:tr>
    </w:tbl>
    <w:p w14:paraId="0E201787" w14:textId="77777777" w:rsidR="000A4BF1" w:rsidRDefault="00000000">
      <w:pPr>
        <w:pStyle w:val="BodyText"/>
      </w:pPr>
      <w:r>
        <w:rPr>
          <w:b/>
          <w:bCs/>
        </w:rPr>
        <w:t>Typography scale, print (pt):</w:t>
      </w:r>
      <w:r>
        <w:t xml:space="preserve"> Headline 34 pt; Subhead (print body) 16 pt; Body 10 pt / 14 pt lead.</w:t>
      </w:r>
    </w:p>
    <w:p w14:paraId="00334C72" w14:textId="77777777" w:rsidR="000A4BF1" w:rsidRDefault="00000000">
      <w:pPr>
        <w:pStyle w:val="Heading3"/>
      </w:pPr>
      <w:bookmarkStart w:id="19" w:name="weight-hierarchy"/>
      <w:bookmarkEnd w:id="18"/>
      <w:r>
        <w:t>Weight Hierarchy</w:t>
      </w:r>
    </w:p>
    <w:p w14:paraId="4B085FF2" w14:textId="77777777" w:rsidR="000A4BF1" w:rsidRDefault="00000000">
      <w:pPr>
        <w:pStyle w:val="FirstParagraph"/>
      </w:pPr>
      <w:r>
        <w:t>Black (900): largest hero statements only, sparingly. ExtraBold (800): hero headline weight for most H1. Bold (700): section headings (H2), CTAs, buttons, bold callout stats. SemiBold (600): H3 subheadings, labels, navigation. Regular (400): all body copy. Light (300): pull quotes in large-type contexts only. Do not use Thin (100) or ExtraLight (200) in brand contexts.</w:t>
      </w:r>
    </w:p>
    <w:p w14:paraId="1B55990A" w14:textId="77777777" w:rsidR="000A4BF1" w:rsidRDefault="00000000">
      <w:pPr>
        <w:pStyle w:val="Heading3"/>
      </w:pPr>
      <w:bookmarkStart w:id="20" w:name="editorial-accent-typeface-bely"/>
      <w:bookmarkEnd w:id="19"/>
      <w:r>
        <w:t>Editorial Accent Typeface: Bely</w:t>
      </w:r>
    </w:p>
    <w:p w14:paraId="3DDCD97E" w14:textId="77777777" w:rsidR="000A4BF1" w:rsidRDefault="00000000">
      <w:pPr>
        <w:pStyle w:val="FirstParagraph"/>
      </w:pPr>
      <w:r>
        <w:t>Adobe Fonts, requires Adobe Creative Cloud subscription. Confirm developer access before project launch. Used for subheads in print and editorial contexts, the “Sunlight. Evolved.” tagline, and callout quotes. Always Bely Bold Italic, no other variant. Web fallback when Bely is unavailable: Montserrat SemiBold Italic.</w:t>
      </w:r>
    </w:p>
    <w:p w14:paraId="5C908DD7" w14:textId="77777777" w:rsidR="000A4BF1" w:rsidRDefault="00000000">
      <w:pPr>
        <w:pStyle w:val="Heading3"/>
      </w:pPr>
      <w:bookmarkStart w:id="21" w:name="typography-donts"/>
      <w:bookmarkEnd w:id="20"/>
      <w:r>
        <w:t>Typography Don’ts</w:t>
      </w:r>
    </w:p>
    <w:p w14:paraId="309E4D7E" w14:textId="77777777" w:rsidR="000A4BF1" w:rsidRDefault="00000000">
      <w:pPr>
        <w:pStyle w:val="FirstParagraph"/>
      </w:pPr>
      <w:r>
        <w:t>No more than two typefaces in any single piece. Do not use Bely for body copy or UI (editorial accent only). Do not set body copy below 10pt (print) or 15px (web). Do not use all-caps for body paragraphs (reserve caps for labels and category tags). Do not mix font weights arbitrarily. Do not use Bely Bold Italic on mobile body copy below 18px (use Montserrat SemiBold Italic instead).</w:t>
      </w:r>
    </w:p>
    <w:p w14:paraId="440FB330" w14:textId="34C251BB" w:rsidR="000A4BF1" w:rsidRDefault="000A4BF1"/>
    <w:p w14:paraId="295A1F2A" w14:textId="77777777" w:rsidR="000A4BF1" w:rsidRDefault="00000000">
      <w:pPr>
        <w:pStyle w:val="Heading2"/>
      </w:pPr>
      <w:bookmarkStart w:id="22" w:name="voice-and-tone"/>
      <w:bookmarkEnd w:id="17"/>
      <w:bookmarkEnd w:id="21"/>
      <w:r>
        <w:t>05 Voice and Tone</w:t>
      </w:r>
    </w:p>
    <w:p w14:paraId="016A693A" w14:textId="77777777" w:rsidR="000A4BF1" w:rsidRDefault="00000000">
      <w:pPr>
        <w:pStyle w:val="Heading3"/>
      </w:pPr>
      <w:bookmarkStart w:id="23" w:name="who-we-are-talking-to"/>
      <w:r>
        <w:t>Who We Are Talking To</w:t>
      </w:r>
    </w:p>
    <w:p w14:paraId="6A5376D0" w14:textId="77777777" w:rsidR="000A4BF1" w:rsidRDefault="00000000">
      <w:pPr>
        <w:pStyle w:val="FirstParagraph"/>
      </w:pPr>
      <w:r>
        <w:t>The Enyrgy buyer is a self-directed, analytically minded adult. They research before they buy. They track their labs. They have already invested in their health (red light therapy panels, continuous glucose monitors, cold plunge systems). They have read the literature or know it exists. They are not impressed by vague wellness language. Speak to them as a knowledgeable peer, not a brand talking at a customer.</w:t>
      </w:r>
    </w:p>
    <w:p w14:paraId="1F01F1DE" w14:textId="77777777" w:rsidR="000A4BF1" w:rsidRDefault="00000000">
      <w:pPr>
        <w:pStyle w:val="Heading3"/>
      </w:pPr>
      <w:bookmarkStart w:id="24" w:name="voice-principles-updated-v2.0"/>
      <w:bookmarkEnd w:id="23"/>
      <w:r>
        <w:t>Voice Principles (Updated v2.0)</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47"/>
        <w:gridCol w:w="2847"/>
        <w:gridCol w:w="3882"/>
      </w:tblGrid>
      <w:tr w:rsidR="000A4BF1" w14:paraId="739BB406" w14:textId="77777777" w:rsidTr="000A4BF1">
        <w:trPr>
          <w:cnfStyle w:val="100000000000" w:firstRow="1" w:lastRow="0" w:firstColumn="0" w:lastColumn="0" w:oddVBand="0" w:evenVBand="0" w:oddHBand="0" w:evenHBand="0" w:firstRowFirstColumn="0" w:firstRowLastColumn="0" w:lastRowFirstColumn="0" w:lastRowLastColumn="0"/>
          <w:tblHeader/>
        </w:trPr>
        <w:tc>
          <w:tcPr>
            <w:tcW w:w="2354" w:type="dxa"/>
          </w:tcPr>
          <w:p w14:paraId="28A88A98" w14:textId="77777777" w:rsidR="000A4BF1" w:rsidRDefault="00000000">
            <w:pPr>
              <w:pStyle w:val="Compact"/>
            </w:pPr>
            <w:r>
              <w:t>Principle</w:t>
            </w:r>
          </w:p>
        </w:tc>
        <w:tc>
          <w:tcPr>
            <w:tcW w:w="2354" w:type="dxa"/>
          </w:tcPr>
          <w:p w14:paraId="64D9C4DB" w14:textId="77777777" w:rsidR="000A4BF1" w:rsidRDefault="00000000">
            <w:pPr>
              <w:pStyle w:val="Compact"/>
            </w:pPr>
            <w:r>
              <w:t>We are…</w:t>
            </w:r>
          </w:p>
        </w:tc>
        <w:tc>
          <w:tcPr>
            <w:tcW w:w="3210" w:type="dxa"/>
          </w:tcPr>
          <w:p w14:paraId="1161E505" w14:textId="77777777" w:rsidR="000A4BF1" w:rsidRDefault="00000000">
            <w:pPr>
              <w:pStyle w:val="Compact"/>
            </w:pPr>
            <w:r>
              <w:t>We are not…</w:t>
            </w:r>
          </w:p>
        </w:tc>
      </w:tr>
      <w:tr w:rsidR="000A4BF1" w14:paraId="4850486B" w14:textId="77777777">
        <w:tc>
          <w:tcPr>
            <w:tcW w:w="2354" w:type="dxa"/>
          </w:tcPr>
          <w:p w14:paraId="375647C3" w14:textId="77777777" w:rsidR="000A4BF1" w:rsidRDefault="00000000">
            <w:pPr>
              <w:pStyle w:val="Compact"/>
            </w:pPr>
            <w:r>
              <w:lastRenderedPageBreak/>
              <w:t>Direct</w:t>
            </w:r>
          </w:p>
        </w:tc>
        <w:tc>
          <w:tcPr>
            <w:tcW w:w="2354" w:type="dxa"/>
          </w:tcPr>
          <w:p w14:paraId="040BC7CE" w14:textId="77777777" w:rsidR="000A4BF1" w:rsidRDefault="00000000">
            <w:pPr>
              <w:pStyle w:val="Compact"/>
            </w:pPr>
            <w:r>
              <w:t>Specific, data-grounded, peer-to-peer. We cite the study, name the number, state the mechanism.</w:t>
            </w:r>
          </w:p>
        </w:tc>
        <w:tc>
          <w:tcPr>
            <w:tcW w:w="3210" w:type="dxa"/>
          </w:tcPr>
          <w:p w14:paraId="52FCD3A5" w14:textId="77777777" w:rsidR="000A4BF1" w:rsidRDefault="00000000">
            <w:pPr>
              <w:pStyle w:val="Compact"/>
            </w:pPr>
            <w:r>
              <w:t>Vague, hedged, or aspirational without evidence.</w:t>
            </w:r>
          </w:p>
        </w:tc>
      </w:tr>
      <w:tr w:rsidR="000A4BF1" w14:paraId="24D3E124" w14:textId="77777777">
        <w:tc>
          <w:tcPr>
            <w:tcW w:w="2354" w:type="dxa"/>
          </w:tcPr>
          <w:p w14:paraId="4AF704CA" w14:textId="77777777" w:rsidR="000A4BF1" w:rsidRDefault="00000000">
            <w:pPr>
              <w:pStyle w:val="Compact"/>
            </w:pPr>
            <w:r>
              <w:t>Precise</w:t>
            </w:r>
          </w:p>
        </w:tc>
        <w:tc>
          <w:tcPr>
            <w:tcW w:w="2354" w:type="dxa"/>
          </w:tcPr>
          <w:p w14:paraId="017FA403" w14:textId="77777777" w:rsidR="000A4BF1" w:rsidRDefault="00000000">
            <w:pPr>
              <w:pStyle w:val="Compact"/>
            </w:pPr>
            <w:r>
              <w:t>Exact language over approximate. “+111% from baseline” over “dramatic results.”</w:t>
            </w:r>
          </w:p>
        </w:tc>
        <w:tc>
          <w:tcPr>
            <w:tcW w:w="3210" w:type="dxa"/>
          </w:tcPr>
          <w:p w14:paraId="18C3A66A" w14:textId="77777777" w:rsidR="000A4BF1" w:rsidRDefault="00000000">
            <w:pPr>
              <w:pStyle w:val="Compact"/>
            </w:pPr>
            <w:r>
              <w:t>Hyperbolic. We do not say “revolutionary,” “game-changing,” or “transforms.”</w:t>
            </w:r>
          </w:p>
        </w:tc>
      </w:tr>
      <w:tr w:rsidR="000A4BF1" w14:paraId="4DEC8299" w14:textId="77777777">
        <w:tc>
          <w:tcPr>
            <w:tcW w:w="2354" w:type="dxa"/>
          </w:tcPr>
          <w:p w14:paraId="6F70DCA2" w14:textId="77777777" w:rsidR="000A4BF1" w:rsidRDefault="00000000">
            <w:pPr>
              <w:pStyle w:val="Compact"/>
            </w:pPr>
            <w:r>
              <w:t>Transparent</w:t>
            </w:r>
          </w:p>
        </w:tc>
        <w:tc>
          <w:tcPr>
            <w:tcW w:w="2354" w:type="dxa"/>
          </w:tcPr>
          <w:p w14:paraId="57CD1E09" w14:textId="77777777" w:rsidR="000A4BF1" w:rsidRDefault="00000000">
            <w:pPr>
              <w:pStyle w:val="Compact"/>
            </w:pPr>
            <w:r>
              <w:t>We show limitations. We name what we are not. We describe contraindications without minimizing them.</w:t>
            </w:r>
          </w:p>
        </w:tc>
        <w:tc>
          <w:tcPr>
            <w:tcW w:w="3210" w:type="dxa"/>
          </w:tcPr>
          <w:p w14:paraId="730625FE" w14:textId="77777777" w:rsidR="000A4BF1" w:rsidRDefault="00000000">
            <w:pPr>
              <w:pStyle w:val="Compact"/>
            </w:pPr>
            <w:r>
              <w:t>Evasive. We do not hide behind FDA wellness language to avoid hard questions.</w:t>
            </w:r>
          </w:p>
        </w:tc>
      </w:tr>
      <w:tr w:rsidR="000A4BF1" w14:paraId="262EB7D6" w14:textId="77777777">
        <w:tc>
          <w:tcPr>
            <w:tcW w:w="2354" w:type="dxa"/>
          </w:tcPr>
          <w:p w14:paraId="055B150E" w14:textId="77777777" w:rsidR="000A4BF1" w:rsidRDefault="00000000">
            <w:pPr>
              <w:pStyle w:val="Compact"/>
            </w:pPr>
            <w:r>
              <w:t>Confident without ego</w:t>
            </w:r>
          </w:p>
        </w:tc>
        <w:tc>
          <w:tcPr>
            <w:tcW w:w="2354" w:type="dxa"/>
          </w:tcPr>
          <w:p w14:paraId="12437C07" w14:textId="77777777" w:rsidR="000A4BF1" w:rsidRDefault="00000000">
            <w:pPr>
              <w:pStyle w:val="Compact"/>
            </w:pPr>
            <w:r>
              <w:t>We state what we know clearly. We acknowledge what we do not know.</w:t>
            </w:r>
          </w:p>
        </w:tc>
        <w:tc>
          <w:tcPr>
            <w:tcW w:w="3210" w:type="dxa"/>
          </w:tcPr>
          <w:p w14:paraId="41F9C606" w14:textId="77777777" w:rsidR="000A4BF1" w:rsidRDefault="00000000">
            <w:pPr>
              <w:pStyle w:val="Compact"/>
            </w:pPr>
            <w:r>
              <w:t>Arrogant. We do not dismiss alternatives or attack competitors by name.</w:t>
            </w:r>
          </w:p>
        </w:tc>
      </w:tr>
      <w:tr w:rsidR="000A4BF1" w14:paraId="33E2991F" w14:textId="77777777">
        <w:tc>
          <w:tcPr>
            <w:tcW w:w="2354" w:type="dxa"/>
          </w:tcPr>
          <w:p w14:paraId="694F568B" w14:textId="77777777" w:rsidR="000A4BF1" w:rsidRDefault="00000000">
            <w:pPr>
              <w:pStyle w:val="Compact"/>
            </w:pPr>
            <w:r>
              <w:t>Warm but not soft</w:t>
            </w:r>
          </w:p>
        </w:tc>
        <w:tc>
          <w:tcPr>
            <w:tcW w:w="2354" w:type="dxa"/>
          </w:tcPr>
          <w:p w14:paraId="23B80F7B" w14:textId="77777777" w:rsidR="000A4BF1" w:rsidRDefault="00000000">
            <w:pPr>
              <w:pStyle w:val="Compact"/>
            </w:pPr>
            <w:r>
              <w:t>Human, grounded, founder-voiced. We write in full sentences, not bullet spray.</w:t>
            </w:r>
          </w:p>
        </w:tc>
        <w:tc>
          <w:tcPr>
            <w:tcW w:w="3210" w:type="dxa"/>
          </w:tcPr>
          <w:p w14:paraId="67369442" w14:textId="77777777" w:rsidR="000A4BF1" w:rsidRDefault="00000000">
            <w:pPr>
              <w:pStyle w:val="Compact"/>
            </w:pPr>
            <w:r>
              <w:t>Corporate, overly formal, or performed. We do not say “empower” or “journey.”</w:t>
            </w:r>
          </w:p>
        </w:tc>
      </w:tr>
      <w:tr w:rsidR="000A4BF1" w14:paraId="66810515" w14:textId="77777777">
        <w:tc>
          <w:tcPr>
            <w:tcW w:w="2354" w:type="dxa"/>
          </w:tcPr>
          <w:p w14:paraId="1718F861" w14:textId="77777777" w:rsidR="000A4BF1" w:rsidRDefault="00000000">
            <w:pPr>
              <w:pStyle w:val="Compact"/>
            </w:pPr>
            <w:r>
              <w:t>Calibrated</w:t>
            </w:r>
          </w:p>
        </w:tc>
        <w:tc>
          <w:tcPr>
            <w:tcW w:w="2354" w:type="dxa"/>
          </w:tcPr>
          <w:p w14:paraId="33FD6AF8" w14:textId="77777777" w:rsidR="000A4BF1" w:rsidRDefault="00000000">
            <w:pPr>
              <w:pStyle w:val="Compact"/>
            </w:pPr>
            <w:r>
              <w:t>We match the register to the context. Product page is tighter than the Science page. Email is conversational. Ads are sharp.</w:t>
            </w:r>
          </w:p>
        </w:tc>
        <w:tc>
          <w:tcPr>
            <w:tcW w:w="3210" w:type="dxa"/>
          </w:tcPr>
          <w:p w14:paraId="1BFD7BBF" w14:textId="77777777" w:rsidR="000A4BF1" w:rsidRDefault="00000000">
            <w:pPr>
              <w:pStyle w:val="Compact"/>
            </w:pPr>
            <w:r>
              <w:t>Consistent to a fault. We do not write every piece in the same voice regardless of context.</w:t>
            </w:r>
          </w:p>
        </w:tc>
      </w:tr>
    </w:tbl>
    <w:p w14:paraId="7EACE764" w14:textId="77777777" w:rsidR="000A4BF1" w:rsidRDefault="00000000">
      <w:pPr>
        <w:pStyle w:val="Heading3"/>
      </w:pPr>
      <w:bookmarkStart w:id="25" w:name="voice-examples"/>
      <w:bookmarkEnd w:id="24"/>
      <w:r>
        <w:t>Voice Examples</w:t>
      </w:r>
    </w:p>
    <w:p w14:paraId="4A35F5B1" w14:textId="77777777" w:rsidR="000A4BF1" w:rsidRDefault="00000000">
      <w:pPr>
        <w:pStyle w:val="FirstParagraph"/>
      </w:pPr>
      <w:r>
        <w:rPr>
          <w:b/>
          <w:bCs/>
        </w:rPr>
        <w:t>Weak (old voice):</w:t>
      </w:r>
      <w:r>
        <w:t xml:space="preserve"> “Enyrgy helps you feel your best with the healing power of light. Safe for the body. Healing for the soul.”</w:t>
      </w:r>
    </w:p>
    <w:p w14:paraId="131F65A3" w14:textId="77777777" w:rsidR="000A4BF1" w:rsidRDefault="00000000">
      <w:pPr>
        <w:pStyle w:val="BodyText"/>
      </w:pPr>
      <w:r>
        <w:rPr>
          <w:b/>
          <w:bCs/>
        </w:rPr>
        <w:t>Strong (Enyrgy voice):</w:t>
      </w:r>
      <w:r>
        <w:t xml:space="preserve"> “Your body creates vitamin D. It does not absorb it. When UVB hits your skin, you synthesize D3, vitamin D sulfate, and photoproducts no supplement contains. That is the mechanism. That is why supplements still leave 40% of users deficient.”</w:t>
      </w:r>
    </w:p>
    <w:p w14:paraId="368AEBFE" w14:textId="77777777" w:rsidR="000A4BF1" w:rsidRDefault="00000000">
      <w:pPr>
        <w:pStyle w:val="BodyText"/>
      </w:pPr>
      <w:r>
        <w:rPr>
          <w:b/>
          <w:bCs/>
        </w:rPr>
        <w:t>Weak:</w:t>
      </w:r>
      <w:r>
        <w:t xml:space="preserve"> “Experience the transformative power of sunlight, reimagined for your modern lifestyle.”</w:t>
      </w:r>
    </w:p>
    <w:p w14:paraId="0A8C3795" w14:textId="77777777" w:rsidR="000A4BF1" w:rsidRDefault="00000000">
      <w:pPr>
        <w:pStyle w:val="BodyText"/>
      </w:pPr>
      <w:r>
        <w:rPr>
          <w:b/>
          <w:bCs/>
        </w:rPr>
        <w:t>Strong:</w:t>
      </w:r>
      <w:r>
        <w:t xml:space="preserve"> “600+ users. 24,000+ sessions. 0% return rate. Average vitamin D increase: 111%. That is what the data shows.”</w:t>
      </w:r>
    </w:p>
    <w:p w14:paraId="403D0D78" w14:textId="77777777" w:rsidR="000A4BF1" w:rsidRDefault="00000000">
      <w:pPr>
        <w:pStyle w:val="Heading3"/>
      </w:pPr>
      <w:bookmarkStart w:id="26" w:name="mechanics"/>
      <w:bookmarkEnd w:id="25"/>
      <w:r>
        <w:lastRenderedPageBreak/>
        <w:t>Mechanics</w:t>
      </w:r>
    </w:p>
    <w:p w14:paraId="013A933B" w14:textId="77777777" w:rsidR="000A4BF1" w:rsidRDefault="00000000">
      <w:pPr>
        <w:pStyle w:val="FirstParagraph"/>
      </w:pPr>
      <w:r>
        <w:rPr>
          <w:b/>
          <w:bCs/>
        </w:rPr>
        <w:t>US English throughout.</w:t>
      </w:r>
      <w:r>
        <w:t xml:space="preserve"> Enyrgy is a US company selling to US customers. Use American spelling in every document, client-facing and internal. The forms that slip in most often: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0A4BF1" w14:paraId="0829D437" w14:textId="77777777" w:rsidTr="000A4BF1">
        <w:trPr>
          <w:cnfStyle w:val="100000000000" w:firstRow="1" w:lastRow="0" w:firstColumn="0" w:lastColumn="0" w:oddVBand="0" w:evenVBand="0" w:oddHBand="0" w:evenHBand="0" w:firstRowFirstColumn="0" w:firstRowLastColumn="0" w:lastRowFirstColumn="0" w:lastRowLastColumn="0"/>
          <w:tblHeader/>
        </w:trPr>
        <w:tc>
          <w:tcPr>
            <w:tcW w:w="3960" w:type="dxa"/>
          </w:tcPr>
          <w:p w14:paraId="3F2F01B8" w14:textId="77777777" w:rsidR="000A4BF1" w:rsidRDefault="00000000">
            <w:pPr>
              <w:pStyle w:val="Compact"/>
            </w:pPr>
            <w:r>
              <w:t>Do not use</w:t>
            </w:r>
          </w:p>
        </w:tc>
        <w:tc>
          <w:tcPr>
            <w:tcW w:w="3960" w:type="dxa"/>
          </w:tcPr>
          <w:p w14:paraId="0961CE09" w14:textId="77777777" w:rsidR="000A4BF1" w:rsidRDefault="00000000">
            <w:pPr>
              <w:pStyle w:val="Compact"/>
            </w:pPr>
            <w:r>
              <w:t>Use</w:t>
            </w:r>
          </w:p>
        </w:tc>
      </w:tr>
      <w:tr w:rsidR="000A4BF1" w14:paraId="0FBC19FF" w14:textId="77777777">
        <w:tc>
          <w:tcPr>
            <w:tcW w:w="3960" w:type="dxa"/>
          </w:tcPr>
          <w:p w14:paraId="47BEE426" w14:textId="77777777" w:rsidR="000A4BF1" w:rsidRDefault="00000000">
            <w:pPr>
              <w:pStyle w:val="Compact"/>
            </w:pPr>
            <w:r>
              <w:t>programme</w:t>
            </w:r>
          </w:p>
        </w:tc>
        <w:tc>
          <w:tcPr>
            <w:tcW w:w="3960" w:type="dxa"/>
          </w:tcPr>
          <w:p w14:paraId="0143590E" w14:textId="77777777" w:rsidR="000A4BF1" w:rsidRDefault="00000000">
            <w:pPr>
              <w:pStyle w:val="Compact"/>
            </w:pPr>
            <w:r>
              <w:t>program</w:t>
            </w:r>
          </w:p>
        </w:tc>
      </w:tr>
      <w:tr w:rsidR="000A4BF1" w14:paraId="3D5FFB1F" w14:textId="77777777">
        <w:tc>
          <w:tcPr>
            <w:tcW w:w="3960" w:type="dxa"/>
          </w:tcPr>
          <w:p w14:paraId="3E3E100C" w14:textId="77777777" w:rsidR="000A4BF1" w:rsidRDefault="00000000">
            <w:pPr>
              <w:pStyle w:val="Compact"/>
            </w:pPr>
            <w:r>
              <w:t>centre, metre, nanometre, litre, fibre</w:t>
            </w:r>
          </w:p>
        </w:tc>
        <w:tc>
          <w:tcPr>
            <w:tcW w:w="3960" w:type="dxa"/>
          </w:tcPr>
          <w:p w14:paraId="6DFA7B7A" w14:textId="77777777" w:rsidR="000A4BF1" w:rsidRDefault="00000000">
            <w:pPr>
              <w:pStyle w:val="Compact"/>
            </w:pPr>
            <w:r>
              <w:t>center, meter, nanometer, liter, fiber</w:t>
            </w:r>
          </w:p>
        </w:tc>
      </w:tr>
      <w:tr w:rsidR="000A4BF1" w14:paraId="5A7534D7" w14:textId="77777777">
        <w:tc>
          <w:tcPr>
            <w:tcW w:w="3960" w:type="dxa"/>
          </w:tcPr>
          <w:p w14:paraId="26319B39" w14:textId="77777777" w:rsidR="000A4BF1" w:rsidRDefault="00000000">
            <w:pPr>
              <w:pStyle w:val="Compact"/>
            </w:pPr>
            <w:r>
              <w:t>colour, behaviour, favour, honour</w:t>
            </w:r>
          </w:p>
        </w:tc>
        <w:tc>
          <w:tcPr>
            <w:tcW w:w="3960" w:type="dxa"/>
          </w:tcPr>
          <w:p w14:paraId="581C8DB5" w14:textId="77777777" w:rsidR="000A4BF1" w:rsidRDefault="00000000">
            <w:pPr>
              <w:pStyle w:val="Compact"/>
            </w:pPr>
            <w:r>
              <w:t>color, behavior, favor, honor</w:t>
            </w:r>
          </w:p>
        </w:tc>
      </w:tr>
      <w:tr w:rsidR="000A4BF1" w14:paraId="60375EA6" w14:textId="77777777">
        <w:tc>
          <w:tcPr>
            <w:tcW w:w="3960" w:type="dxa"/>
          </w:tcPr>
          <w:p w14:paraId="5D78FF02" w14:textId="77777777" w:rsidR="000A4BF1" w:rsidRDefault="00000000">
            <w:pPr>
              <w:pStyle w:val="Compact"/>
            </w:pPr>
            <w:r>
              <w:t>licence, defence, offence</w:t>
            </w:r>
          </w:p>
        </w:tc>
        <w:tc>
          <w:tcPr>
            <w:tcW w:w="3960" w:type="dxa"/>
          </w:tcPr>
          <w:p w14:paraId="05DBE6F1" w14:textId="77777777" w:rsidR="000A4BF1" w:rsidRDefault="00000000">
            <w:pPr>
              <w:pStyle w:val="Compact"/>
            </w:pPr>
            <w:r>
              <w:t>license, defense, offense</w:t>
            </w:r>
          </w:p>
        </w:tc>
      </w:tr>
      <w:tr w:rsidR="000A4BF1" w14:paraId="0FC6FDBA" w14:textId="77777777">
        <w:tc>
          <w:tcPr>
            <w:tcW w:w="3960" w:type="dxa"/>
          </w:tcPr>
          <w:p w14:paraId="473701DC" w14:textId="77777777" w:rsidR="000A4BF1" w:rsidRDefault="00000000">
            <w:pPr>
              <w:pStyle w:val="Compact"/>
            </w:pPr>
            <w:r>
              <w:t>organise, recognise, realise, prioritise</w:t>
            </w:r>
          </w:p>
        </w:tc>
        <w:tc>
          <w:tcPr>
            <w:tcW w:w="3960" w:type="dxa"/>
          </w:tcPr>
          <w:p w14:paraId="244F42EB" w14:textId="77777777" w:rsidR="000A4BF1" w:rsidRDefault="00000000">
            <w:pPr>
              <w:pStyle w:val="Compact"/>
            </w:pPr>
            <w:r>
              <w:t>organize, recognize, realize, prioritize</w:t>
            </w:r>
          </w:p>
        </w:tc>
      </w:tr>
      <w:tr w:rsidR="000A4BF1" w14:paraId="19AC3F29" w14:textId="77777777">
        <w:tc>
          <w:tcPr>
            <w:tcW w:w="3960" w:type="dxa"/>
          </w:tcPr>
          <w:p w14:paraId="60007F91" w14:textId="77777777" w:rsidR="000A4BF1" w:rsidRDefault="00000000">
            <w:pPr>
              <w:pStyle w:val="Compact"/>
            </w:pPr>
            <w:r>
              <w:t>standardise, utilise, minimise, maximise</w:t>
            </w:r>
          </w:p>
        </w:tc>
        <w:tc>
          <w:tcPr>
            <w:tcW w:w="3960" w:type="dxa"/>
          </w:tcPr>
          <w:p w14:paraId="0E2AC3F5" w14:textId="77777777" w:rsidR="000A4BF1" w:rsidRDefault="00000000">
            <w:pPr>
              <w:pStyle w:val="Compact"/>
            </w:pPr>
            <w:r>
              <w:t>standardize, utilize, minimize, maximize</w:t>
            </w:r>
          </w:p>
        </w:tc>
      </w:tr>
      <w:tr w:rsidR="000A4BF1" w14:paraId="3FD5E4B8" w14:textId="77777777">
        <w:tc>
          <w:tcPr>
            <w:tcW w:w="3960" w:type="dxa"/>
          </w:tcPr>
          <w:p w14:paraId="7FFFC15C" w14:textId="77777777" w:rsidR="000A4BF1" w:rsidRDefault="00000000">
            <w:pPr>
              <w:pStyle w:val="Compact"/>
            </w:pPr>
            <w:r>
              <w:t>emphasise, summarise, specialise, apologise</w:t>
            </w:r>
          </w:p>
        </w:tc>
        <w:tc>
          <w:tcPr>
            <w:tcW w:w="3960" w:type="dxa"/>
          </w:tcPr>
          <w:p w14:paraId="11A9F2D7" w14:textId="77777777" w:rsidR="000A4BF1" w:rsidRDefault="00000000">
            <w:pPr>
              <w:pStyle w:val="Compact"/>
            </w:pPr>
            <w:r>
              <w:t>emphasize, summarize, specialize, apologize</w:t>
            </w:r>
          </w:p>
        </w:tc>
      </w:tr>
      <w:tr w:rsidR="000A4BF1" w14:paraId="443D1878" w14:textId="77777777">
        <w:tc>
          <w:tcPr>
            <w:tcW w:w="3960" w:type="dxa"/>
          </w:tcPr>
          <w:p w14:paraId="0BB42CAE" w14:textId="77777777" w:rsidR="000A4BF1" w:rsidRDefault="00000000">
            <w:pPr>
              <w:pStyle w:val="Compact"/>
            </w:pPr>
            <w:r>
              <w:t>analyse, catalyse, paralyse</w:t>
            </w:r>
          </w:p>
        </w:tc>
        <w:tc>
          <w:tcPr>
            <w:tcW w:w="3960" w:type="dxa"/>
          </w:tcPr>
          <w:p w14:paraId="1A22CDC7" w14:textId="77777777" w:rsidR="000A4BF1" w:rsidRDefault="00000000">
            <w:pPr>
              <w:pStyle w:val="Compact"/>
            </w:pPr>
            <w:r>
              <w:t>analyze, catalyze, paralyze</w:t>
            </w:r>
          </w:p>
        </w:tc>
      </w:tr>
      <w:tr w:rsidR="000A4BF1" w14:paraId="760692FE" w14:textId="77777777">
        <w:tc>
          <w:tcPr>
            <w:tcW w:w="3960" w:type="dxa"/>
          </w:tcPr>
          <w:p w14:paraId="76E090E0" w14:textId="77777777" w:rsidR="000A4BF1" w:rsidRDefault="00000000">
            <w:pPr>
              <w:pStyle w:val="Compact"/>
            </w:pPr>
            <w:r>
              <w:t>randomised, randomisation</w:t>
            </w:r>
          </w:p>
        </w:tc>
        <w:tc>
          <w:tcPr>
            <w:tcW w:w="3960" w:type="dxa"/>
          </w:tcPr>
          <w:p w14:paraId="2022E70D" w14:textId="77777777" w:rsidR="000A4BF1" w:rsidRDefault="00000000">
            <w:pPr>
              <w:pStyle w:val="Compact"/>
            </w:pPr>
            <w:r>
              <w:t>randomized, randomization</w:t>
            </w:r>
          </w:p>
        </w:tc>
      </w:tr>
      <w:tr w:rsidR="000A4BF1" w14:paraId="25EE6E8A" w14:textId="77777777">
        <w:tc>
          <w:tcPr>
            <w:tcW w:w="3960" w:type="dxa"/>
          </w:tcPr>
          <w:p w14:paraId="75422018" w14:textId="77777777" w:rsidR="000A4BF1" w:rsidRDefault="00000000">
            <w:pPr>
              <w:pStyle w:val="Compact"/>
            </w:pPr>
            <w:r>
              <w:t>ageing</w:t>
            </w:r>
          </w:p>
        </w:tc>
        <w:tc>
          <w:tcPr>
            <w:tcW w:w="3960" w:type="dxa"/>
          </w:tcPr>
          <w:p w14:paraId="04D6224C" w14:textId="77777777" w:rsidR="000A4BF1" w:rsidRDefault="00000000">
            <w:pPr>
              <w:pStyle w:val="Compact"/>
            </w:pPr>
            <w:r>
              <w:t>aging</w:t>
            </w:r>
          </w:p>
        </w:tc>
      </w:tr>
      <w:tr w:rsidR="000A4BF1" w14:paraId="292DFA23" w14:textId="77777777">
        <w:tc>
          <w:tcPr>
            <w:tcW w:w="3960" w:type="dxa"/>
          </w:tcPr>
          <w:p w14:paraId="47136F10" w14:textId="77777777" w:rsidR="000A4BF1" w:rsidRDefault="00000000">
            <w:pPr>
              <w:pStyle w:val="Compact"/>
            </w:pPr>
            <w:r>
              <w:t>judgement</w:t>
            </w:r>
          </w:p>
        </w:tc>
        <w:tc>
          <w:tcPr>
            <w:tcW w:w="3960" w:type="dxa"/>
          </w:tcPr>
          <w:p w14:paraId="4F9884DD" w14:textId="77777777" w:rsidR="000A4BF1" w:rsidRDefault="00000000">
            <w:pPr>
              <w:pStyle w:val="Compact"/>
            </w:pPr>
            <w:r>
              <w:t>judgment</w:t>
            </w:r>
          </w:p>
        </w:tc>
      </w:tr>
      <w:tr w:rsidR="000A4BF1" w14:paraId="0BAA6E25" w14:textId="77777777">
        <w:tc>
          <w:tcPr>
            <w:tcW w:w="3960" w:type="dxa"/>
          </w:tcPr>
          <w:p w14:paraId="63E1E11C" w14:textId="77777777" w:rsidR="000A4BF1" w:rsidRDefault="00000000">
            <w:pPr>
              <w:pStyle w:val="Compact"/>
            </w:pPr>
            <w:r>
              <w:t>travelling, cancelled, labelling, modelling</w:t>
            </w:r>
          </w:p>
        </w:tc>
        <w:tc>
          <w:tcPr>
            <w:tcW w:w="3960" w:type="dxa"/>
          </w:tcPr>
          <w:p w14:paraId="6B85EB8D" w14:textId="77777777" w:rsidR="000A4BF1" w:rsidRDefault="00000000">
            <w:pPr>
              <w:pStyle w:val="Compact"/>
            </w:pPr>
            <w:r>
              <w:t>traveling, canceled, labeling, modeling</w:t>
            </w:r>
          </w:p>
        </w:tc>
      </w:tr>
      <w:tr w:rsidR="000A4BF1" w14:paraId="0437DE26" w14:textId="77777777">
        <w:tc>
          <w:tcPr>
            <w:tcW w:w="3960" w:type="dxa"/>
          </w:tcPr>
          <w:p w14:paraId="245046E7" w14:textId="77777777" w:rsidR="000A4BF1" w:rsidRDefault="00000000">
            <w:pPr>
              <w:pStyle w:val="Compact"/>
            </w:pPr>
            <w:r>
              <w:t>whilst, amongst</w:t>
            </w:r>
          </w:p>
        </w:tc>
        <w:tc>
          <w:tcPr>
            <w:tcW w:w="3960" w:type="dxa"/>
          </w:tcPr>
          <w:p w14:paraId="36BCCE01" w14:textId="77777777" w:rsidR="000A4BF1" w:rsidRDefault="00000000">
            <w:pPr>
              <w:pStyle w:val="Compact"/>
            </w:pPr>
            <w:r>
              <w:t>while, among</w:t>
            </w:r>
          </w:p>
        </w:tc>
      </w:tr>
      <w:tr w:rsidR="000A4BF1" w14:paraId="6512402F" w14:textId="77777777">
        <w:tc>
          <w:tcPr>
            <w:tcW w:w="3960" w:type="dxa"/>
          </w:tcPr>
          <w:p w14:paraId="6E520CDA" w14:textId="77777777" w:rsidR="000A4BF1" w:rsidRDefault="00000000">
            <w:pPr>
              <w:pStyle w:val="Compact"/>
            </w:pPr>
            <w:r>
              <w:t>grey, catalogue, storey</w:t>
            </w:r>
          </w:p>
        </w:tc>
        <w:tc>
          <w:tcPr>
            <w:tcW w:w="3960" w:type="dxa"/>
          </w:tcPr>
          <w:p w14:paraId="5CC3F81C" w14:textId="77777777" w:rsidR="000A4BF1" w:rsidRDefault="00000000">
            <w:pPr>
              <w:pStyle w:val="Compact"/>
            </w:pPr>
            <w:r>
              <w:t>gray, catalog, story</w:t>
            </w:r>
          </w:p>
        </w:tc>
      </w:tr>
    </w:tbl>
    <w:p w14:paraId="08352824" w14:textId="77777777" w:rsidR="000A4BF1" w:rsidRDefault="00000000">
      <w:pPr>
        <w:pStyle w:val="BodyText"/>
      </w:pPr>
      <w:r>
        <w:t>Quoted material keeps its source spelling. A study title published with British spelling is reproduced exactly as published.</w:t>
      </w:r>
    </w:p>
    <w:p w14:paraId="7A51911E" w14:textId="77777777" w:rsidR="000A4BF1" w:rsidRDefault="00000000">
      <w:pPr>
        <w:pStyle w:val="BodyText"/>
      </w:pPr>
      <w:r>
        <w:rPr>
          <w:b/>
          <w:bCs/>
        </w:rPr>
        <w:t>No em-dashes anywhere.</w:t>
      </w:r>
      <w:r>
        <w:t xml:space="preserve"> Stated in the header and repeated here because it is a mechanics rule, not a stylistic preference. Use a period, a comma, a colon, or parentheses. En-dashes inside numeric ranges (8 to 12 weeks, 60-100 ng/mL) are correct and stay.</w:t>
      </w:r>
    </w:p>
    <w:p w14:paraId="263913E7" w14:textId="77777777" w:rsidR="000A4BF1" w:rsidRDefault="00000000">
      <w:pPr>
        <w:pStyle w:val="BodyText"/>
      </w:pPr>
      <w:r>
        <w:t xml:space="preserve">Both rules are checked automatically by </w:t>
      </w:r>
      <w:r>
        <w:rPr>
          <w:rStyle w:val="VerbatimChar"/>
        </w:rPr>
        <w:t>scripts/md2docx.py</w:t>
      </w:r>
      <w:r>
        <w:t xml:space="preserve"> whenever a </w:t>
      </w:r>
      <w:r>
        <w:rPr>
          <w:rStyle w:val="VerbatimChar"/>
        </w:rPr>
        <w:t>.docx</w:t>
      </w:r>
      <w:r>
        <w:t xml:space="preserve"> is regenerated, or on demand with </w:t>
      </w:r>
      <w:r>
        <w:rPr>
          <w:rStyle w:val="VerbatimChar"/>
        </w:rPr>
        <w:t>python3 scripts/md2docx.py --check-only &lt;file.md&gt;</w:t>
      </w:r>
      <w:r>
        <w:t>. Regenerating warns and never blocks.</w:t>
      </w:r>
    </w:p>
    <w:p w14:paraId="76BD3CE3" w14:textId="77777777" w:rsidR="000A4BF1" w:rsidRDefault="00000000">
      <w:pPr>
        <w:pStyle w:val="BodyText"/>
      </w:pPr>
      <w:r>
        <w:t xml:space="preserve">A pre-commit hook enforces the same two rules on staged </w:t>
      </w:r>
      <w:r>
        <w:rPr>
          <w:rStyle w:val="VerbatimChar"/>
        </w:rPr>
        <w:t>Enyrgy_*.md</w:t>
      </w:r>
      <w:r>
        <w:t xml:space="preserve"> and </w:t>
      </w:r>
      <w:r>
        <w:rPr>
          <w:rStyle w:val="VerbatimChar"/>
        </w:rPr>
        <w:t>campaigns/*.md</w:t>
      </w:r>
      <w:r>
        <w:t xml:space="preserve">, and </w:t>
      </w:r>
      <w:r>
        <w:rPr>
          <w:b/>
          <w:bCs/>
        </w:rPr>
        <w:t>does</w:t>
      </w:r>
      <w:r>
        <w:t xml:space="preserve"> block. Enable it once per clone with </w:t>
      </w:r>
      <w:r>
        <w:rPr>
          <w:rStyle w:val="VerbatimChar"/>
        </w:rPr>
        <w:t>git config core.hooksPath .githooks</w:t>
      </w:r>
      <w:r>
        <w:t>. Paperclip product docs are out of scope.</w:t>
      </w:r>
    </w:p>
    <w:p w14:paraId="54D5C49A" w14:textId="77777777" w:rsidR="000A4BF1" w:rsidRDefault="00000000">
      <w:pPr>
        <w:pStyle w:val="BodyText"/>
      </w:pPr>
      <w:r>
        <w:t>To exempt a passage, such as a study title published with British spelling, wrap it:</w:t>
      </w:r>
    </w:p>
    <w:p w14:paraId="27E4369E" w14:textId="77777777" w:rsidR="000A4BF1" w:rsidRDefault="00000000">
      <w:pPr>
        <w:pStyle w:val="SourceCode"/>
      </w:pPr>
      <w:r>
        <w:rPr>
          <w:rStyle w:val="VerbatimChar"/>
        </w:rPr>
        <w:t>&lt;!-- style-check: ignore --&gt;</w:t>
      </w:r>
      <w:r>
        <w:br/>
      </w:r>
      <w:r>
        <w:rPr>
          <w:rStyle w:val="VerbatimChar"/>
        </w:rPr>
        <w:t>...the quoted passage...</w:t>
      </w:r>
      <w:r>
        <w:br/>
      </w:r>
      <w:r>
        <w:rPr>
          <w:rStyle w:val="VerbatimChar"/>
        </w:rPr>
        <w:t>&lt;!-- style-check: resume --&gt;</w:t>
      </w:r>
    </w:p>
    <w:p w14:paraId="791009BC" w14:textId="1DC65385" w:rsidR="000A4BF1" w:rsidRDefault="000A4BF1"/>
    <w:p w14:paraId="7752764B" w14:textId="77777777" w:rsidR="000A4BF1" w:rsidRDefault="00000000">
      <w:pPr>
        <w:pStyle w:val="Heading2"/>
      </w:pPr>
      <w:bookmarkStart w:id="27" w:name="imagery-direction"/>
      <w:bookmarkEnd w:id="22"/>
      <w:bookmarkEnd w:id="26"/>
      <w:r>
        <w:t>06 Imagery Direction</w:t>
      </w:r>
    </w:p>
    <w:p w14:paraId="319104F9" w14:textId="77777777" w:rsidR="000A4BF1" w:rsidRDefault="00000000">
      <w:pPr>
        <w:pStyle w:val="FirstParagraph"/>
      </w:pPr>
      <w:r>
        <w:t>Enyrgy imagery must work harder than generic wellness stock photography. The buyer is analytical and skeptical. Every image should either (a) show the product in context, (b) establish scientific credibility, or (c) show a real, specific human engaged in the Enyrgy protocol, not a generic wellness moment.</w:t>
      </w:r>
    </w:p>
    <w:p w14:paraId="23788353" w14:textId="77777777" w:rsidR="000A4BF1" w:rsidRDefault="00000000">
      <w:pPr>
        <w:pStyle w:val="BodyText"/>
      </w:pPr>
      <w:r>
        <w:rPr>
          <w:b/>
          <w:bCs/>
        </w:rPr>
        <w:t>Category 1: Product / Device.</w:t>
      </w:r>
      <w:r>
        <w:t xml:space="preserve"> The Platform is the hero. Prioritize clean backgrounds (white, Warm Off-White, or Charcoal), precision lighting that captures device detail, lifestyle-in-use shots showing correct session distance and posture, and multi-user household contexts showing the 6-user value. Avoid outdoors settings, product floating in abstract space, and generic glowing-light effects that obscure device detail.</w:t>
      </w:r>
    </w:p>
    <w:p w14:paraId="6152C9D6" w14:textId="77777777" w:rsidR="000A4BF1" w:rsidRDefault="00000000">
      <w:pPr>
        <w:pStyle w:val="BodyText"/>
      </w:pPr>
      <w:r>
        <w:rPr>
          <w:b/>
          <w:bCs/>
        </w:rPr>
        <w:t>Category 2: Active / Performance.</w:t>
      </w:r>
      <w:r>
        <w:t xml:space="preserve"> Athletes, performance-focused individuals, post-workout recovery. Images should feel disciplined and intentional, not a beach vacation. Think pre-race preparation, early-morning training, strength and conditioning. Skin exposure is appropriate and necessary (the product requires skin access). Tone: focused, physical, driven. Avoid extreme sport spectacle, injury imagery, and beach or leisure contexts that undermine the performance positioning.</w:t>
      </w:r>
    </w:p>
    <w:p w14:paraId="401609E8" w14:textId="77777777" w:rsidR="000A4BF1" w:rsidRDefault="00000000">
      <w:pPr>
        <w:pStyle w:val="BodyText"/>
      </w:pPr>
      <w:r>
        <w:rPr>
          <w:b/>
          <w:bCs/>
        </w:rPr>
        <w:t>Category 3: Scientific / Clinical (New in v2.0).</w:t>
      </w:r>
      <w:r>
        <w:t xml:space="preserve"> Required for the Science page, advisory board sections, white paper design, and any content targeting the Stack Optimizer ICP. Includes advisory board headshots in professional settings, lab environments (clean, modern, not sterile and cold), data visualization aesthetics, macro imagery of skin and light interaction, UV spectrum diagrams. Tone: precise, credible, peer-reviewed. Avoid stock-photo doctors in white coats with stethoscopes and clinical imagery that feels medical-device rather than wellness-technology.</w:t>
      </w:r>
    </w:p>
    <w:p w14:paraId="2886EA17" w14:textId="77777777" w:rsidR="000A4BF1" w:rsidRDefault="00000000">
      <w:pPr>
        <w:pStyle w:val="BodyText"/>
      </w:pPr>
      <w:r>
        <w:rPr>
          <w:b/>
          <w:bCs/>
        </w:rPr>
        <w:t>Category 4: Lifestyle / Wellness.</w:t>
      </w:r>
      <w:r>
        <w:t xml:space="preserve"> Supporting category for editorial, email, and social. People enjoying natural light, outdoors moments, family health contexts. Warm, golden light tones. Subordinate to product and science imagery on the website. Avoid the current website hero (generic wheat-field stock); replace with product-in-use or a founder moment.</w:t>
      </w:r>
    </w:p>
    <w:p w14:paraId="5ACF41E8" w14:textId="77777777" w:rsidR="000A4BF1" w:rsidRDefault="00000000">
      <w:pPr>
        <w:pStyle w:val="BodyText"/>
      </w:pPr>
      <w:r>
        <w:rPr>
          <w:b/>
          <w:bCs/>
        </w:rPr>
        <w:t>Photography style:</w:t>
      </w:r>
      <w:r>
        <w:t xml:space="preserve"> warm, directional natural light (avoid flat studio lighting). Warm whites and golds. Represent Fitzpatrick skin types III to VI prominently (the safety and efficacy story is skin-type specific and diverse representation is accurate product representation). No forced smiles or generic poses. Aspect ratios: 16:9 website hero, 1:1 social, 4:5 Instagram portrait.</w:t>
      </w:r>
    </w:p>
    <w:p w14:paraId="5C203B0B" w14:textId="5C7ECDF6" w:rsidR="000A4BF1" w:rsidRDefault="000A4BF1"/>
    <w:p w14:paraId="5B860610" w14:textId="77777777" w:rsidR="000A4BF1" w:rsidRDefault="00000000">
      <w:pPr>
        <w:pStyle w:val="Heading2"/>
      </w:pPr>
      <w:bookmarkStart w:id="28" w:name="naming-and-trademark-guidelines"/>
      <w:bookmarkEnd w:id="27"/>
      <w:r>
        <w:lastRenderedPageBreak/>
        <w:t>07 Naming and Trademark Guidelines</w:t>
      </w:r>
    </w:p>
    <w:p w14:paraId="3FA37153" w14:textId="77777777" w:rsidR="000A4BF1" w:rsidRDefault="00000000">
      <w:pPr>
        <w:pStyle w:val="Heading3"/>
      </w:pPr>
      <w:bookmarkStart w:id="29" w:name="official-product-name-1"/>
      <w:r>
        <w:t>Official Product Name</w:t>
      </w:r>
    </w:p>
    <w:p w14:paraId="7C3F4B00" w14:textId="77777777" w:rsidR="000A4BF1" w:rsidRDefault="00000000">
      <w:pPr>
        <w:pStyle w:val="FirstParagraph"/>
      </w:pPr>
      <w:r>
        <w:rPr>
          <w:b/>
          <w:bCs/>
        </w:rPr>
        <w:t>Enyrgy Vitamin D Primal Light Platform.</w:t>
      </w:r>
      <w:r>
        <w:t xml:space="preserve"> Use this exact name, in full, on first reference in every document, webpage, marketing asset, and PR mention. Subsequent references in the same piece: “the Platform,” “the Enyrgy Platform,” or “Enyrgy.”</w:t>
      </w:r>
    </w:p>
    <w:p w14:paraId="232D34A4" w14:textId="77777777" w:rsidR="000A4BF1" w:rsidRDefault="00000000">
      <w:pPr>
        <w:pStyle w:val="BodyText"/>
      </w:pPr>
      <w:r>
        <w:t>Deprecated names (do not use in any new materials): “Precision Vitamin D Wellness Platform” and any variant of “BioCalibrated Sunshine Platform.”</w:t>
      </w:r>
    </w:p>
    <w:p w14:paraId="184931CD" w14:textId="77777777" w:rsidR="000A4BF1" w:rsidRDefault="00000000">
      <w:pPr>
        <w:pStyle w:val="Heading3"/>
      </w:pPr>
      <w:bookmarkStart w:id="30" w:name="brand-name"/>
      <w:bookmarkEnd w:id="29"/>
      <w:r>
        <w:t>Brand Name</w:t>
      </w:r>
    </w:p>
    <w:p w14:paraId="4B083E1E" w14:textId="77777777" w:rsidR="000A4BF1" w:rsidRDefault="00000000">
      <w:pPr>
        <w:pStyle w:val="FirstParagraph"/>
      </w:pPr>
      <w:r>
        <w:t>“Enyrgy,” always with a capital E, never all-caps (ENYRGY) outside of the logo lockup itself.</w:t>
      </w:r>
    </w:p>
    <w:p w14:paraId="1643EB07" w14:textId="77777777" w:rsidR="000A4BF1" w:rsidRDefault="00000000">
      <w:pPr>
        <w:pStyle w:val="Heading3"/>
      </w:pPr>
      <w:bookmarkStart w:id="31" w:name="tagline"/>
      <w:bookmarkEnd w:id="30"/>
      <w:r>
        <w:t>Tagline</w:t>
      </w:r>
    </w:p>
    <w:p w14:paraId="469C351F" w14:textId="77777777" w:rsidR="000A4BF1" w:rsidRDefault="00000000">
      <w:pPr>
        <w:pStyle w:val="FirstParagraph"/>
      </w:pPr>
      <w:r>
        <w:t>“Sunlight. Evolved.” Both words capitalized. Both periods required. Do not alter punctuation. Used directly beneath the logo (vertical layout), in editorial headlines, and in brand advertising.</w:t>
      </w:r>
    </w:p>
    <w:p w14:paraId="71AECE56" w14:textId="77777777" w:rsidR="000A4BF1" w:rsidRDefault="00000000">
      <w:pPr>
        <w:pStyle w:val="Heading3"/>
      </w:pPr>
      <w:bookmarkStart w:id="32" w:name="trademark-terms"/>
      <w:bookmarkEnd w:id="31"/>
      <w:r>
        <w:t>Trademark Terms</w:t>
      </w:r>
    </w:p>
    <w:p w14:paraId="5A2E9E8B" w14:textId="77777777" w:rsidR="000A4BF1" w:rsidRDefault="00000000">
      <w:pPr>
        <w:pStyle w:val="FirstParagraph"/>
      </w:pPr>
      <w:r>
        <w:rPr>
          <w:b/>
          <w:bCs/>
        </w:rPr>
        <w:t>Triple-Pathway Advantage(TM).</w:t>
      </w:r>
      <w:r>
        <w:t xml:space="preserve"> Always hyphenated, always title-cased, include the trademark symbol on first mention in any document or page. Describes the three simultaneous biological pathways triggered by one Enyrgy session: vitamin D synthesis (UVB), nitric oxide release (UVA), serotonin activation (UVA).</w:t>
      </w:r>
    </w:p>
    <w:p w14:paraId="49852A83" w14:textId="77777777" w:rsidR="000A4BF1" w:rsidRDefault="00000000">
      <w:pPr>
        <w:pStyle w:val="BodyText"/>
      </w:pPr>
      <w:r>
        <w:rPr>
          <w:b/>
          <w:bCs/>
        </w:rPr>
        <w:t>BioCalibrated Sunshine(TM).</w:t>
      </w:r>
      <w:r>
        <w:t xml:space="preserve"> A secondary descriptive trademark for the Enyrgy method of precision-dosed, skin-type-calibrated phototherapy. Use sparingly, primarily in white papers, editorial, and PR. Not recommended as primary product copy on the website. Include the trademark symbol on first mention.</w:t>
      </w:r>
    </w:p>
    <w:p w14:paraId="14BCD2A3" w14:textId="77777777" w:rsidR="000A4BF1" w:rsidRDefault="00000000">
      <w:pPr>
        <w:pStyle w:val="BodyText"/>
      </w:pPr>
      <w:r>
        <w:rPr>
          <w:b/>
          <w:bCs/>
        </w:rPr>
        <w:t>MED Protocol.</w:t>
      </w:r>
      <w:r>
        <w:t xml:space="preserve"> “MED” stands for Minimal Erythemal Dose. Do not trademark this term, it is a scientific standard. Use it with the definition on first mention in any consumer-facing material: “Minimal Erythemal Dose (MED), the precise amount of UVB exposure that triggers vitamin D synthesis without causing a burn.”</w:t>
      </w:r>
    </w:p>
    <w:p w14:paraId="2AE97209" w14:textId="07B03C80" w:rsidR="000A4BF1" w:rsidRDefault="000A4BF1"/>
    <w:p w14:paraId="58C88D4C" w14:textId="77777777" w:rsidR="000A4BF1" w:rsidRDefault="00000000">
      <w:pPr>
        <w:pStyle w:val="Heading2"/>
      </w:pPr>
      <w:bookmarkStart w:id="33" w:name="legal-and-compliance"/>
      <w:bookmarkEnd w:id="28"/>
      <w:bookmarkEnd w:id="32"/>
      <w:r>
        <w:t>08 Legal and Compliance</w:t>
      </w:r>
    </w:p>
    <w:p w14:paraId="20E18822" w14:textId="77777777" w:rsidR="000A4BF1" w:rsidRDefault="00000000">
      <w:pPr>
        <w:pStyle w:val="FirstParagraph"/>
      </w:pPr>
      <w:r>
        <w:rPr>
          <w:b/>
          <w:bCs/>
        </w:rPr>
        <w:t>Age requirement: 18.</w:t>
      </w:r>
      <w:r>
        <w:t xml:space="preserve"> Resolved Session 7. The minimum age is 18 years or older, consistent with the current website, all website copy, both white papers, and comparable consumer wellness devices (red light therapy, infrared saunas, phototherapy panels). The earlier v1 “21 years or older” language is retired. Update any asset that still shows 21.</w:t>
      </w:r>
    </w:p>
    <w:p w14:paraId="07304CEF" w14:textId="77777777" w:rsidR="000A4BF1" w:rsidRDefault="00000000">
      <w:pPr>
        <w:pStyle w:val="Heading3"/>
      </w:pPr>
      <w:bookmarkStart w:id="34" w:name="required-disclosures"/>
      <w:r>
        <w:lastRenderedPageBreak/>
        <w:t>Required Disclosures</w:t>
      </w:r>
    </w:p>
    <w:p w14:paraId="6304125D" w14:textId="77777777" w:rsidR="000A4BF1" w:rsidRDefault="00000000">
      <w:pPr>
        <w:pStyle w:val="FirstParagraph"/>
      </w:pPr>
      <w:r>
        <w:t>All consumer-facing materials must include the following. Exact placement and format vary by medium.</w:t>
      </w:r>
    </w:p>
    <w:p w14:paraId="2E4153B3" w14:textId="77777777" w:rsidR="000A4BF1" w:rsidRDefault="00000000">
      <w:pPr>
        <w:pStyle w:val="BodyText"/>
      </w:pPr>
      <w:r>
        <w:rPr>
          <w:b/>
          <w:bCs/>
        </w:rPr>
        <w:t>Age Restriction.</w:t>
      </w:r>
      <w:r>
        <w:t xml:space="preserve"> Not suitable for use by individuals under 18 years of age.</w:t>
      </w:r>
    </w:p>
    <w:p w14:paraId="1B34D2AC" w14:textId="77777777" w:rsidR="000A4BF1" w:rsidRDefault="00000000">
      <w:pPr>
        <w:pStyle w:val="BodyText"/>
      </w:pPr>
      <w:r>
        <w:rPr>
          <w:b/>
          <w:bCs/>
        </w:rPr>
        <w:t>Medical Device / FDA Status.</w:t>
      </w:r>
      <w:r>
        <w:t xml:space="preserve"> Enyrgy is not a medical device. Enyrgy does not diagnose, treat, cure, or prevent any disease. Statements have not been evaluated by the FDA.</w:t>
      </w:r>
    </w:p>
    <w:p w14:paraId="5482BF63" w14:textId="77777777" w:rsidR="000A4BF1" w:rsidRDefault="00000000">
      <w:pPr>
        <w:pStyle w:val="BodyText"/>
      </w:pPr>
      <w:r>
        <w:rPr>
          <w:b/>
          <w:bCs/>
        </w:rPr>
        <w:t>Contraindication Notice.</w:t>
      </w:r>
      <w:r>
        <w:t xml:space="preserve"> This is the list that ships in the Enyrgy User Guide. </w:t>
      </w:r>
      <w:r>
        <w:rPr>
          <w:b/>
          <w:bCs/>
        </w:rPr>
        <w:t>It is a safety disclosure, not copy.</w:t>
      </w:r>
      <w:r>
        <w:t xml:space="preserve"> Reproduce it as written. Do not shorten it, reword it, reorder it, set it smaller than the surrounding body text, or drop entries to fit a layout. If it will not fit, the layout changes.</w:t>
      </w:r>
    </w:p>
    <w:p w14:paraId="36F52DEE" w14:textId="77777777" w:rsidR="000A4BF1" w:rsidRDefault="00000000">
      <w:pPr>
        <w:pStyle w:val="BlockText"/>
      </w:pPr>
      <w:r>
        <w:rPr>
          <w:b/>
          <w:bCs/>
        </w:rPr>
        <w:t>Contraindicated</w:t>
      </w:r>
    </w:p>
    <w:p w14:paraId="76EFCBB0" w14:textId="77777777" w:rsidR="000A4BF1" w:rsidRDefault="00000000">
      <w:pPr>
        <w:pStyle w:val="BlockText"/>
      </w:pPr>
      <w:r>
        <w:t>We recommend consulting your doctor to evaluate whether Enyrgy Light Therapy is right for you.</w:t>
      </w:r>
    </w:p>
    <w:p w14:paraId="68662309" w14:textId="77777777" w:rsidR="000A4BF1" w:rsidRDefault="00000000">
      <w:pPr>
        <w:pStyle w:val="Compact"/>
        <w:numPr>
          <w:ilvl w:val="0"/>
          <w:numId w:val="2"/>
        </w:numPr>
      </w:pPr>
      <w:r>
        <w:t>Do not use if Pregnant</w:t>
      </w:r>
    </w:p>
    <w:p w14:paraId="315AF31A" w14:textId="77777777" w:rsidR="000A4BF1" w:rsidRDefault="00000000">
      <w:pPr>
        <w:pStyle w:val="Compact"/>
        <w:numPr>
          <w:ilvl w:val="0"/>
          <w:numId w:val="2"/>
        </w:numPr>
      </w:pPr>
      <w:r>
        <w:t>Do not use if diagnosed with UV Light Sensitivity</w:t>
      </w:r>
    </w:p>
    <w:p w14:paraId="092CF654" w14:textId="77777777" w:rsidR="000A4BF1" w:rsidRDefault="00000000">
      <w:pPr>
        <w:pStyle w:val="Compact"/>
        <w:numPr>
          <w:ilvl w:val="0"/>
          <w:numId w:val="2"/>
        </w:numPr>
      </w:pPr>
      <w:r>
        <w:t>Do not use if on photosensitizing medication</w:t>
      </w:r>
    </w:p>
    <w:p w14:paraId="1CF2ABBE" w14:textId="77777777" w:rsidR="000A4BF1" w:rsidRDefault="00000000">
      <w:pPr>
        <w:pStyle w:val="Compact"/>
        <w:numPr>
          <w:ilvl w:val="0"/>
          <w:numId w:val="2"/>
        </w:numPr>
      </w:pPr>
      <w:r>
        <w:t>Do not use if diagnosed with HIV-AIDS</w:t>
      </w:r>
    </w:p>
    <w:p w14:paraId="24B3467B" w14:textId="77777777" w:rsidR="000A4BF1" w:rsidRDefault="00000000">
      <w:pPr>
        <w:pStyle w:val="Compact"/>
        <w:numPr>
          <w:ilvl w:val="0"/>
          <w:numId w:val="2"/>
        </w:numPr>
      </w:pPr>
      <w:r>
        <w:t>Do not use if diagnosed with Active Skin Cancer</w:t>
      </w:r>
    </w:p>
    <w:p w14:paraId="0CA3A7D7" w14:textId="77777777" w:rsidR="000A4BF1" w:rsidRDefault="00000000">
      <w:pPr>
        <w:pStyle w:val="Compact"/>
        <w:numPr>
          <w:ilvl w:val="0"/>
          <w:numId w:val="2"/>
        </w:numPr>
      </w:pPr>
      <w:r>
        <w:t>Do not use if diagnosed with UV light sensitivities: Protoporphyria (EPP), UV-sensitive syndrome, Photodermatitis, Xeroderma pigmentosum (XP), Lupus erythematosus, or Actinic dermatitis</w:t>
      </w:r>
    </w:p>
    <w:p w14:paraId="7D6A9DB2" w14:textId="77777777" w:rsidR="000A4BF1" w:rsidRDefault="00000000">
      <w:pPr>
        <w:pStyle w:val="Compact"/>
        <w:numPr>
          <w:ilvl w:val="0"/>
          <w:numId w:val="2"/>
        </w:numPr>
      </w:pPr>
      <w:r>
        <w:t>Do not use if diagnosed with UV light allergies: Actinic prurigo (hereditary PMLE), Polymorphous light eruption (PMLE), or Solar urticaria</w:t>
      </w:r>
    </w:p>
    <w:p w14:paraId="7E30B783" w14:textId="77777777" w:rsidR="000A4BF1" w:rsidRDefault="00000000">
      <w:pPr>
        <w:pStyle w:val="FirstParagraph"/>
      </w:pPr>
      <w:r>
        <w:t>The age requirement above applies on top of this list.</w:t>
      </w:r>
    </w:p>
    <w:p w14:paraId="2DFD148D" w14:textId="77777777" w:rsidR="000A4BF1" w:rsidRDefault="00000000">
      <w:pPr>
        <w:pStyle w:val="BodyText"/>
      </w:pPr>
      <w:r>
        <w:rPr>
          <w:b/>
          <w:bCs/>
        </w:rPr>
        <w:t>This notice is exempt from the prohibited-words scan.</w:t>
      </w:r>
      <w:r>
        <w:t xml:space="preserve"> It contains “diagnosed” five times because naming the condition is the entire function of a safety disclosure. Scrubbing those words to pass the scan breaks the notice. Send it as written or do not send it.</w:t>
      </w:r>
    </w:p>
    <w:p w14:paraId="610A37B8" w14:textId="77777777" w:rsidR="000A4BF1" w:rsidRDefault="00000000">
      <w:pPr>
        <w:pStyle w:val="BodyText"/>
      </w:pPr>
      <w:r>
        <w:rPr>
          <w:b/>
          <w:bCs/>
        </w:rPr>
        <w:t>Two changes to the list on 2026-08-24, both by Scott’s decision.</w:t>
      </w:r>
      <w:r>
        <w:t xml:space="preserve"> Protoporphyria is now abbreviated EPP rather than EEP, and </w:t>
      </w:r>
      <w:r>
        <w:rPr>
          <w:b/>
          <w:bCs/>
        </w:rPr>
        <w:t>the Heart/Pacemaker line was removed</w:t>
      </w:r>
      <w:r>
        <w:t xml:space="preserve"> because no dermatological source supported it (knowledge base 16.7 carries the basis). </w:t>
      </w:r>
      <w:r>
        <w:rPr>
          <w:b/>
          <w:bCs/>
        </w:rPr>
        <w:t>Units already in the field carry the previous printing.</w:t>
      </w:r>
      <w:r>
        <w:t xml:space="preserve"> Never write copy that draws attention to the removal or presents it as a safety finding, and never tell a customer their printed manual is wrong.</w:t>
      </w:r>
    </w:p>
    <w:p w14:paraId="60086728" w14:textId="77777777" w:rsidR="000A4BF1" w:rsidRDefault="00000000">
      <w:pPr>
        <w:pStyle w:val="BodyText"/>
      </w:pPr>
      <w:r>
        <w:rPr>
          <w:b/>
          <w:bCs/>
        </w:rPr>
        <w:t>Aligned to the User Guide on 2026-08-24, and two items narrowed in the process.</w:t>
      </w:r>
      <w:r>
        <w:t xml:space="preserve"> The version this replaced excluded anyone with a </w:t>
      </w:r>
      <w:r>
        <w:rPr>
          <w:b/>
          <w:bCs/>
        </w:rPr>
        <w:t>family history</w:t>
      </w:r>
      <w:r>
        <w:t xml:space="preserve"> of melanoma or skin cancer, where the User Guide excludes only </w:t>
      </w:r>
      <w:r>
        <w:rPr>
          <w:b/>
          <w:bCs/>
        </w:rPr>
        <w:t>active</w:t>
      </w:r>
      <w:r>
        <w:t xml:space="preserve"> skin cancer, and it excluded </w:t>
      </w:r>
      <w:r>
        <w:rPr>
          <w:b/>
          <w:bCs/>
        </w:rPr>
        <w:t>breastfeeding</w:t>
      </w:r>
      <w:r>
        <w:t xml:space="preserve">, </w:t>
      </w:r>
      <w:r>
        <w:lastRenderedPageBreak/>
        <w:t xml:space="preserve">which the User Guide does not mention. Both were dropped to make the two documents agree. </w:t>
      </w:r>
      <w:r>
        <w:rPr>
          <w:b/>
          <w:bCs/>
        </w:rPr>
        <w:t>Open question for the author of the User Guide: is the narrower scope intended?</w:t>
      </w:r>
      <w:r>
        <w:t xml:space="preserve"> Until that is answered, do not reintroduce either item to consumer copy on your own initiative, and do not treat their absence as a considered decision.</w:t>
      </w:r>
    </w:p>
    <w:p w14:paraId="3D6A5727" w14:textId="77777777" w:rsidR="000A4BF1" w:rsidRDefault="00000000">
      <w:pPr>
        <w:pStyle w:val="BodyText"/>
      </w:pPr>
      <w:r>
        <w:rPr>
          <w:b/>
          <w:bCs/>
        </w:rPr>
        <w:t>Intact Skin Notice.</w:t>
      </w:r>
      <w:r>
        <w:t xml:space="preserve"> Carry this alongside the contraindication list wherever usage is described.</w:t>
      </w:r>
    </w:p>
    <w:p w14:paraId="339E430B" w14:textId="77777777" w:rsidR="000A4BF1" w:rsidRDefault="00000000">
      <w:pPr>
        <w:pStyle w:val="BlockText"/>
      </w:pPr>
      <w:r>
        <w:rPr>
          <w:b/>
          <w:bCs/>
        </w:rPr>
        <w:t>Use on intact skin only.</w:t>
      </w:r>
      <w:r>
        <w:t xml:space="preserve"> Sessions are taken on the torso, on skin that is unbroken and healthy. Do not direct exposure at a wound, a sore that has not closed, a rash, a burn, or any other area of broken skin. Keep any such area covered during your session, and speak with your doctor before continuing.</w:t>
      </w:r>
    </w:p>
    <w:p w14:paraId="597EC899" w14:textId="77777777" w:rsidR="000A4BF1" w:rsidRDefault="00000000">
      <w:pPr>
        <w:pStyle w:val="FirstParagraph"/>
      </w:pPr>
      <w:r>
        <w:t xml:space="preserve">Added 2026-08-24. It matters because our own approved research points say adequate vitamin D supports wound repair, and a reader who owns a UVB platform can reasonably conclude the light should go on the wound. </w:t>
      </w:r>
      <w:r>
        <w:rPr>
          <w:b/>
          <w:bCs/>
        </w:rPr>
        <w:t>Never pair the wound-repair research with usage instructions in the same passage</w:t>
      </w:r>
      <w:r>
        <w:t>, and never imply a session is aimed at an injury.</w:t>
      </w:r>
    </w:p>
    <w:p w14:paraId="6FE279FC" w14:textId="77777777" w:rsidR="000A4BF1" w:rsidRDefault="00000000">
      <w:pPr>
        <w:pStyle w:val="BodyText"/>
      </w:pPr>
      <w:r>
        <w:rPr>
          <w:b/>
          <w:bCs/>
        </w:rPr>
        <w:t>Annual Skin Exam Recommendation.</w:t>
      </w:r>
      <w:r>
        <w:t xml:space="preserve"> Annual dermatological skin examinations are recommended for all users.</w:t>
      </w:r>
    </w:p>
    <w:p w14:paraId="5E6EA1AB" w14:textId="77777777" w:rsidR="000A4BF1" w:rsidRDefault="00000000">
      <w:pPr>
        <w:pStyle w:val="Heading3"/>
      </w:pPr>
      <w:bookmarkStart w:id="35" w:name="research-citation-guidelines"/>
      <w:bookmarkEnd w:id="34"/>
      <w:r>
        <w:t>Research Citation Guidelines</w:t>
      </w:r>
    </w:p>
    <w:p w14:paraId="553D1754" w14:textId="77777777" w:rsidR="000A4BF1" w:rsidRDefault="00000000">
      <w:pPr>
        <w:pStyle w:val="FirstParagraph"/>
      </w:pPr>
      <w:r>
        <w:t>When citing peer-reviewed studies: state the specific finding, name the publication, and include the year. Example: “Narrowband UVB 3x/week produced greater vitamin D increases than 1,600 IU/day oral D3, British Journal of Dermatology RCT, 2012.” For population-level epidemiological findings, frame as “research shows that adequate vitamin D levels are associated with…”, never as a claim about what Enyrgy prevents or treats. Draw all research claims from published literature. Do not extrapolate beyond what the cited studies demonstrate.</w:t>
      </w:r>
    </w:p>
    <w:p w14:paraId="23B4D52C" w14:textId="0F0D9DB8" w:rsidR="000A4BF1" w:rsidRDefault="000A4BF1"/>
    <w:p w14:paraId="6B62C2C9" w14:textId="77777777" w:rsidR="000A4BF1" w:rsidRDefault="00000000">
      <w:pPr>
        <w:pStyle w:val="Heading2"/>
      </w:pPr>
      <w:bookmarkStart w:id="36" w:name="digital-application-guidelines"/>
      <w:bookmarkEnd w:id="33"/>
      <w:bookmarkEnd w:id="35"/>
      <w:r>
        <w:t>09 Digital Application Guidelines</w:t>
      </w:r>
    </w:p>
    <w:p w14:paraId="46D79600" w14:textId="77777777" w:rsidR="000A4BF1" w:rsidRDefault="00000000">
      <w:pPr>
        <w:pStyle w:val="FirstParagraph"/>
      </w:pPr>
      <w:r>
        <w:t>New in v2.0. The original guide was print-centric.</w:t>
      </w:r>
    </w:p>
    <w:p w14:paraId="57A256F0" w14:textId="77777777" w:rsidR="000A4BF1" w:rsidRDefault="00000000">
      <w:pPr>
        <w:pStyle w:val="Heading3"/>
      </w:pPr>
      <w:bookmarkStart w:id="37" w:name="website-color-system"/>
      <w:r>
        <w:t>Website Color System</w:t>
      </w:r>
    </w:p>
    <w:p w14:paraId="09EE2655" w14:textId="77777777" w:rsidR="000A4BF1" w:rsidRDefault="00000000">
      <w:pPr>
        <w:pStyle w:val="FirstParagraph"/>
      </w:pPr>
      <w:r>
        <w:t>Primary background: #FFFFFF (Pure White), default for all main content. Warm content sections: #F7F4EE (Warm Off-White), alternating section backgrounds, testimonial and editorial panels. Brand accent sections: #E64C38 (Sunrise Orange), hero sections, CTA blocks, dividers, max 2 to 3 per page. Dark sections: #1A1A1A (Deep Charcoal), footer, dark hero variants, proof and stats callouts. Beige panels: #ECE4CF (Calm Beige), in-page callout boxes, card backgrounds, pull-quote backgrounds.</w:t>
      </w:r>
    </w:p>
    <w:p w14:paraId="104148FF" w14:textId="77777777" w:rsidR="000A4BF1" w:rsidRDefault="00000000">
      <w:pPr>
        <w:pStyle w:val="Heading3"/>
      </w:pPr>
      <w:bookmarkStart w:id="38" w:name="button-and-cta-hierarchy"/>
      <w:bookmarkEnd w:id="37"/>
      <w:r>
        <w:lastRenderedPageBreak/>
        <w:t>Button and CTA Hierarchy</w:t>
      </w:r>
    </w:p>
    <w:p w14:paraId="339A285E" w14:textId="77777777" w:rsidR="000A4BF1" w:rsidRDefault="00000000">
      <w:pPr>
        <w:pStyle w:val="FirstParagraph"/>
      </w:pPr>
      <w:r>
        <w:t>Primary button: Sunrise Orange background plus White text (Montserrat Bold 14px). The single most important action on a page (for example, “Get Yours”). Secondary button: White background plus Sunrise Orange border plus Sunrise Orange text (for example, “Read the Science”). Ghost button: transparent background plus White border plus White text, on orange or dark backgrounds only.</w:t>
      </w:r>
    </w:p>
    <w:p w14:paraId="3C0B6DCC" w14:textId="77777777" w:rsidR="000A4BF1" w:rsidRDefault="00000000">
      <w:pPr>
        <w:pStyle w:val="Heading3"/>
      </w:pPr>
      <w:bookmarkStart w:id="39" w:name="typography-web-specs"/>
      <w:bookmarkEnd w:id="38"/>
      <w:r>
        <w:t>Typography, Web Specs</w:t>
      </w:r>
    </w:p>
    <w:p w14:paraId="1D80082C" w14:textId="77777777" w:rsidR="000A4BF1" w:rsidRDefault="00000000">
      <w:pPr>
        <w:pStyle w:val="FirstParagraph"/>
      </w:pPr>
      <w:r>
        <w:t>Montserrat from Google Fonts CDN. Import only weights in use: 300, 400, 600, 700, 800. Bely via Adobe Fonts (Typekit), requires active Creative Cloud license on the hosting account. Web fallback stack when brand fonts fail: Montserrat, ‘Helvetica Neue’, Arial, sans-serif.</w:t>
      </w:r>
    </w:p>
    <w:p w14:paraId="53C64A63" w14:textId="77777777" w:rsidR="000A4BF1" w:rsidRDefault="00000000">
      <w:pPr>
        <w:pStyle w:val="Heading3"/>
      </w:pPr>
      <w:bookmarkStart w:id="40" w:name="accessibility-minimums"/>
      <w:bookmarkEnd w:id="39"/>
      <w:r>
        <w:t>Accessibility Minimums</w:t>
      </w:r>
    </w:p>
    <w:p w14:paraId="79209FF6" w14:textId="77777777" w:rsidR="000A4BF1" w:rsidRDefault="00000000">
      <w:pPr>
        <w:pStyle w:val="FirstParagraph"/>
      </w:pPr>
      <w:r>
        <w:t>Minimum contrast ratio 4.5:1 for body text (WCAG AA). Orange (#E64C38) on White is 3.8:1 and does NOT meet AA for body text; use Charcoal on White for body. Orange is approved for large text (24px+) and UI elements only. White on Orange is 3.8:1, approved for large headlines and button text (minimum 18px bold). Charcoal on White is 18.1:1, fully compliant. Charcoal on Beige is 11.4:1, fully compliant.</w:t>
      </w:r>
    </w:p>
    <w:p w14:paraId="73A5A510" w14:textId="77777777" w:rsidR="000A4BF1" w:rsidRDefault="00000000">
      <w:pPr>
        <w:pStyle w:val="Heading3"/>
      </w:pPr>
      <w:bookmarkStart w:id="41" w:name="social-media"/>
      <w:bookmarkEnd w:id="40"/>
      <w:r>
        <w:t>Social Media</w:t>
      </w:r>
    </w:p>
    <w:p w14:paraId="34BA4B07" w14:textId="77777777" w:rsidR="000A4BF1" w:rsidRDefault="00000000">
      <w:pPr>
        <w:pStyle w:val="FirstParagraph"/>
      </w:pPr>
      <w:r>
        <w:t>Primary account: Instagram @enyrgy.light (primary and active). Ensure all website footer links, bio links, and marketing materials point to @enyrgy.light; audit and redirect any deprecated handles. Profile image: the logo mark (circular arc symbol only, no logotype) on Sunrise Orange, minimum 400x400px (upload at 1080x1080px). Content formats: feed 1:1 (1080x1080) or 4:5 (1080x1350), product-in-use and science content; stories and reels 9:16 (1080x1920), lifestyle and educational. Maintain brand color, Montserrat, and voice in all caption copy.</w:t>
      </w:r>
    </w:p>
    <w:p w14:paraId="69DD1AE4" w14:textId="18685D8F" w:rsidR="000A4BF1" w:rsidRDefault="000A4BF1"/>
    <w:p w14:paraId="625D8461" w14:textId="77777777" w:rsidR="000A4BF1" w:rsidRDefault="00000000">
      <w:pPr>
        <w:pStyle w:val="Heading2"/>
      </w:pPr>
      <w:bookmarkStart w:id="42" w:name="what-changed-from-v1-to-v2"/>
      <w:bookmarkEnd w:id="36"/>
      <w:bookmarkEnd w:id="41"/>
      <w:r>
        <w:t>10 What Changed from v1 to v2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80"/>
        <w:gridCol w:w="3398"/>
        <w:gridCol w:w="3398"/>
      </w:tblGrid>
      <w:tr w:rsidR="000A4BF1" w14:paraId="793AF1D4" w14:textId="77777777" w:rsidTr="000A4BF1">
        <w:trPr>
          <w:cnfStyle w:val="100000000000" w:firstRow="1" w:lastRow="0" w:firstColumn="0" w:lastColumn="0" w:oddVBand="0" w:evenVBand="0" w:oddHBand="0" w:evenHBand="0" w:firstRowFirstColumn="0" w:firstRowLastColumn="0" w:lastRowFirstColumn="0" w:lastRowLastColumn="0"/>
          <w:tblHeader/>
        </w:trPr>
        <w:tc>
          <w:tcPr>
            <w:tcW w:w="2299" w:type="dxa"/>
          </w:tcPr>
          <w:p w14:paraId="38AC5821" w14:textId="77777777" w:rsidR="000A4BF1" w:rsidRDefault="00000000">
            <w:pPr>
              <w:pStyle w:val="Compact"/>
            </w:pPr>
            <w:r>
              <w:t>Section</w:t>
            </w:r>
          </w:p>
        </w:tc>
        <w:tc>
          <w:tcPr>
            <w:tcW w:w="2810" w:type="dxa"/>
          </w:tcPr>
          <w:p w14:paraId="46BDAA20" w14:textId="77777777" w:rsidR="000A4BF1" w:rsidRDefault="00000000">
            <w:pPr>
              <w:pStyle w:val="Compact"/>
            </w:pPr>
            <w:r>
              <w:t>v1 (2023)</w:t>
            </w:r>
          </w:p>
        </w:tc>
        <w:tc>
          <w:tcPr>
            <w:tcW w:w="2810" w:type="dxa"/>
          </w:tcPr>
          <w:p w14:paraId="75347A0B" w14:textId="77777777" w:rsidR="000A4BF1" w:rsidRDefault="00000000">
            <w:pPr>
              <w:pStyle w:val="Compact"/>
            </w:pPr>
            <w:r>
              <w:t>v2 (2026)</w:t>
            </w:r>
          </w:p>
        </w:tc>
      </w:tr>
      <w:tr w:rsidR="000A4BF1" w14:paraId="76145CDC" w14:textId="77777777">
        <w:tc>
          <w:tcPr>
            <w:tcW w:w="2299" w:type="dxa"/>
          </w:tcPr>
          <w:p w14:paraId="655C3931" w14:textId="77777777" w:rsidR="000A4BF1" w:rsidRDefault="00000000">
            <w:pPr>
              <w:pStyle w:val="Compact"/>
            </w:pPr>
            <w:r>
              <w:t>Age requirement</w:t>
            </w:r>
          </w:p>
        </w:tc>
        <w:tc>
          <w:tcPr>
            <w:tcW w:w="2810" w:type="dxa"/>
          </w:tcPr>
          <w:p w14:paraId="1E0AEB4A" w14:textId="77777777" w:rsidR="000A4BF1" w:rsidRDefault="00000000">
            <w:pPr>
              <w:pStyle w:val="Compact"/>
            </w:pPr>
            <w:r>
              <w:t>“Must be 21 years or older”</w:t>
            </w:r>
          </w:p>
        </w:tc>
        <w:tc>
          <w:tcPr>
            <w:tcW w:w="2810" w:type="dxa"/>
          </w:tcPr>
          <w:p w14:paraId="23F12B3C" w14:textId="77777777" w:rsidR="000A4BF1" w:rsidRDefault="00000000">
            <w:pPr>
              <w:pStyle w:val="Compact"/>
            </w:pPr>
            <w:r>
              <w:t>18 years or older (confirmed Session 7)</w:t>
            </w:r>
          </w:p>
        </w:tc>
      </w:tr>
      <w:tr w:rsidR="000A4BF1" w14:paraId="488357D6" w14:textId="77777777">
        <w:tc>
          <w:tcPr>
            <w:tcW w:w="2299" w:type="dxa"/>
          </w:tcPr>
          <w:p w14:paraId="063B4961" w14:textId="77777777" w:rsidR="000A4BF1" w:rsidRDefault="00000000">
            <w:pPr>
              <w:pStyle w:val="Compact"/>
            </w:pPr>
            <w:r>
              <w:t>Primary typeface</w:t>
            </w:r>
          </w:p>
        </w:tc>
        <w:tc>
          <w:tcPr>
            <w:tcW w:w="2810" w:type="dxa"/>
          </w:tcPr>
          <w:p w14:paraId="2B7ABF78" w14:textId="77777777" w:rsidR="000A4BF1" w:rsidRDefault="00000000">
            <w:pPr>
              <w:pStyle w:val="Compact"/>
            </w:pPr>
            <w:r>
              <w:t>Red Hat Display</w:t>
            </w:r>
          </w:p>
        </w:tc>
        <w:tc>
          <w:tcPr>
            <w:tcW w:w="2810" w:type="dxa"/>
          </w:tcPr>
          <w:p w14:paraId="1F101F09" w14:textId="77777777" w:rsidR="000A4BF1" w:rsidRDefault="00000000">
            <w:pPr>
              <w:pStyle w:val="Compact"/>
            </w:pPr>
            <w:r>
              <w:t>Montserrat (more weights, better digital hinting, fully free)</w:t>
            </w:r>
          </w:p>
        </w:tc>
      </w:tr>
      <w:tr w:rsidR="000A4BF1" w14:paraId="33DBFE6E" w14:textId="77777777">
        <w:tc>
          <w:tcPr>
            <w:tcW w:w="2299" w:type="dxa"/>
          </w:tcPr>
          <w:p w14:paraId="71CD9617" w14:textId="77777777" w:rsidR="000A4BF1" w:rsidRDefault="00000000">
            <w:pPr>
              <w:pStyle w:val="Compact"/>
            </w:pPr>
            <w:r>
              <w:t>Color ratios (web)</w:t>
            </w:r>
          </w:p>
        </w:tc>
        <w:tc>
          <w:tcPr>
            <w:tcW w:w="2810" w:type="dxa"/>
          </w:tcPr>
          <w:p w14:paraId="7703D907" w14:textId="77777777" w:rsidR="000A4BF1" w:rsidRDefault="00000000">
            <w:pPr>
              <w:pStyle w:val="Compact"/>
            </w:pPr>
            <w:r>
              <w:t>80/20 Orange/Beige, no digital guidance</w:t>
            </w:r>
          </w:p>
        </w:tc>
        <w:tc>
          <w:tcPr>
            <w:tcW w:w="2810" w:type="dxa"/>
          </w:tcPr>
          <w:p w14:paraId="69A9D84D" w14:textId="77777777" w:rsidR="000A4BF1" w:rsidRDefault="00000000">
            <w:pPr>
              <w:pStyle w:val="Compact"/>
            </w:pPr>
            <w:r>
              <w:t>White/Off-White dominant, Orange as power accent, Charcoal for dark sections</w:t>
            </w:r>
          </w:p>
        </w:tc>
      </w:tr>
      <w:tr w:rsidR="000A4BF1" w14:paraId="44881FFD" w14:textId="77777777">
        <w:tc>
          <w:tcPr>
            <w:tcW w:w="2299" w:type="dxa"/>
          </w:tcPr>
          <w:p w14:paraId="19BC907D" w14:textId="77777777" w:rsidR="000A4BF1" w:rsidRDefault="00000000">
            <w:pPr>
              <w:pStyle w:val="Compact"/>
            </w:pPr>
            <w:r>
              <w:lastRenderedPageBreak/>
              <w:t>Supporting colors</w:t>
            </w:r>
          </w:p>
        </w:tc>
        <w:tc>
          <w:tcPr>
            <w:tcW w:w="2810" w:type="dxa"/>
          </w:tcPr>
          <w:p w14:paraId="71FFCCAC" w14:textId="77777777" w:rsidR="000A4BF1" w:rsidRDefault="00000000">
            <w:pPr>
              <w:pStyle w:val="Compact"/>
            </w:pPr>
            <w:r>
              <w:t>No web colors defined</w:t>
            </w:r>
          </w:p>
        </w:tc>
        <w:tc>
          <w:tcPr>
            <w:tcW w:w="2810" w:type="dxa"/>
          </w:tcPr>
          <w:p w14:paraId="7D5BC456" w14:textId="77777777" w:rsidR="000A4BF1" w:rsidRDefault="00000000">
            <w:pPr>
              <w:pStyle w:val="Compact"/>
            </w:pPr>
            <w:r>
              <w:t>Pure White, Warm Off-White, Deep Charcoal added for digital UI</w:t>
            </w:r>
          </w:p>
        </w:tc>
      </w:tr>
      <w:tr w:rsidR="000A4BF1" w14:paraId="230A891D" w14:textId="77777777">
        <w:tc>
          <w:tcPr>
            <w:tcW w:w="2299" w:type="dxa"/>
          </w:tcPr>
          <w:p w14:paraId="353FF36B" w14:textId="77777777" w:rsidR="000A4BF1" w:rsidRDefault="00000000">
            <w:pPr>
              <w:pStyle w:val="Compact"/>
            </w:pPr>
            <w:r>
              <w:t>Voice and tone</w:t>
            </w:r>
          </w:p>
        </w:tc>
        <w:tc>
          <w:tcPr>
            <w:tcW w:w="2810" w:type="dxa"/>
          </w:tcPr>
          <w:p w14:paraId="716A26C9" w14:textId="77777777" w:rsidR="000A4BF1" w:rsidRDefault="00000000">
            <w:pPr>
              <w:pStyle w:val="Compact"/>
            </w:pPr>
            <w:r>
              <w:t>Wellness-guide voice, “friendly but not informal”</w:t>
            </w:r>
          </w:p>
        </w:tc>
        <w:tc>
          <w:tcPr>
            <w:tcW w:w="2810" w:type="dxa"/>
          </w:tcPr>
          <w:p w14:paraId="105EE1D6" w14:textId="77777777" w:rsidR="000A4BF1" w:rsidRDefault="00000000">
            <w:pPr>
              <w:pStyle w:val="Compact"/>
            </w:pPr>
            <w:r>
              <w:t>Founder-to-peer voice, direct, data-driven, precise</w:t>
            </w:r>
          </w:p>
        </w:tc>
      </w:tr>
      <w:tr w:rsidR="000A4BF1" w14:paraId="7B1A8C5C" w14:textId="77777777">
        <w:tc>
          <w:tcPr>
            <w:tcW w:w="2299" w:type="dxa"/>
          </w:tcPr>
          <w:p w14:paraId="663AE41E" w14:textId="77777777" w:rsidR="000A4BF1" w:rsidRDefault="00000000">
            <w:pPr>
              <w:pStyle w:val="Compact"/>
            </w:pPr>
            <w:r>
              <w:t>Imagery categories</w:t>
            </w:r>
          </w:p>
        </w:tc>
        <w:tc>
          <w:tcPr>
            <w:tcW w:w="2810" w:type="dxa"/>
          </w:tcPr>
          <w:p w14:paraId="7C4E30C8" w14:textId="77777777" w:rsidR="000A4BF1" w:rsidRDefault="00000000">
            <w:pPr>
              <w:pStyle w:val="Compact"/>
            </w:pPr>
            <w:r>
              <w:t>2 (Wellness, Active)</w:t>
            </w:r>
          </w:p>
        </w:tc>
        <w:tc>
          <w:tcPr>
            <w:tcW w:w="2810" w:type="dxa"/>
          </w:tcPr>
          <w:p w14:paraId="5EB25959" w14:textId="77777777" w:rsidR="000A4BF1" w:rsidRDefault="00000000">
            <w:pPr>
              <w:pStyle w:val="Compact"/>
            </w:pPr>
            <w:r>
              <w:t>4 (Product/Device, Active/Performance, Scientific/Clinical [new], Lifestyle/Wellness)</w:t>
            </w:r>
          </w:p>
        </w:tc>
      </w:tr>
      <w:tr w:rsidR="000A4BF1" w14:paraId="24607F0C" w14:textId="77777777">
        <w:tc>
          <w:tcPr>
            <w:tcW w:w="2299" w:type="dxa"/>
          </w:tcPr>
          <w:p w14:paraId="4487AE3E" w14:textId="77777777" w:rsidR="000A4BF1" w:rsidRDefault="00000000">
            <w:pPr>
              <w:pStyle w:val="Compact"/>
            </w:pPr>
            <w:r>
              <w:t>Product name</w:t>
            </w:r>
          </w:p>
        </w:tc>
        <w:tc>
          <w:tcPr>
            <w:tcW w:w="2810" w:type="dxa"/>
          </w:tcPr>
          <w:p w14:paraId="24344DED" w14:textId="77777777" w:rsidR="000A4BF1" w:rsidRDefault="00000000">
            <w:pPr>
              <w:pStyle w:val="Compact"/>
            </w:pPr>
            <w:r>
              <w:t>None in guide</w:t>
            </w:r>
          </w:p>
        </w:tc>
        <w:tc>
          <w:tcPr>
            <w:tcW w:w="2810" w:type="dxa"/>
          </w:tcPr>
          <w:p w14:paraId="059E48EE" w14:textId="77777777" w:rsidR="000A4BF1" w:rsidRDefault="00000000">
            <w:pPr>
              <w:pStyle w:val="Compact"/>
            </w:pPr>
            <w:r>
              <w:t>Enyrgy Vitamin D Primal Light Platform, canonical name defined</w:t>
            </w:r>
          </w:p>
        </w:tc>
      </w:tr>
      <w:tr w:rsidR="000A4BF1" w14:paraId="7D37D1AF" w14:textId="77777777">
        <w:tc>
          <w:tcPr>
            <w:tcW w:w="2299" w:type="dxa"/>
          </w:tcPr>
          <w:p w14:paraId="24F6A5C2" w14:textId="77777777" w:rsidR="000A4BF1" w:rsidRDefault="00000000">
            <w:pPr>
              <w:pStyle w:val="Compact"/>
            </w:pPr>
            <w:r>
              <w:t>Tagline</w:t>
            </w:r>
          </w:p>
        </w:tc>
        <w:tc>
          <w:tcPr>
            <w:tcW w:w="2810" w:type="dxa"/>
          </w:tcPr>
          <w:p w14:paraId="2541D85F" w14:textId="77777777" w:rsidR="000A4BF1" w:rsidRDefault="00000000">
            <w:pPr>
              <w:pStyle w:val="Compact"/>
            </w:pPr>
            <w:r>
              <w:t>None in guide</w:t>
            </w:r>
          </w:p>
        </w:tc>
        <w:tc>
          <w:tcPr>
            <w:tcW w:w="2810" w:type="dxa"/>
          </w:tcPr>
          <w:p w14:paraId="6A1686A2" w14:textId="77777777" w:rsidR="000A4BF1" w:rsidRDefault="00000000">
            <w:pPr>
              <w:pStyle w:val="Compact"/>
            </w:pPr>
            <w:r>
              <w:t>“Sunlight. Evolved.” defined with usage rules</w:t>
            </w:r>
          </w:p>
        </w:tc>
      </w:tr>
      <w:tr w:rsidR="000A4BF1" w14:paraId="1ECEEAF7" w14:textId="77777777">
        <w:tc>
          <w:tcPr>
            <w:tcW w:w="2299" w:type="dxa"/>
          </w:tcPr>
          <w:p w14:paraId="617428CC" w14:textId="77777777" w:rsidR="000A4BF1" w:rsidRDefault="00000000">
            <w:pPr>
              <w:pStyle w:val="Compact"/>
            </w:pPr>
            <w:r>
              <w:t>Trademark terms</w:t>
            </w:r>
          </w:p>
        </w:tc>
        <w:tc>
          <w:tcPr>
            <w:tcW w:w="2810" w:type="dxa"/>
          </w:tcPr>
          <w:p w14:paraId="404E0E79" w14:textId="77777777" w:rsidR="000A4BF1" w:rsidRDefault="00000000">
            <w:pPr>
              <w:pStyle w:val="Compact"/>
            </w:pPr>
            <w:r>
              <w:t>None defined</w:t>
            </w:r>
          </w:p>
        </w:tc>
        <w:tc>
          <w:tcPr>
            <w:tcW w:w="2810" w:type="dxa"/>
          </w:tcPr>
          <w:p w14:paraId="0D8E152C" w14:textId="77777777" w:rsidR="000A4BF1" w:rsidRDefault="00000000">
            <w:pPr>
              <w:pStyle w:val="Compact"/>
            </w:pPr>
            <w:r>
              <w:t>Triple-Pathway Advantage(TM), BioCalibrated Sunshine(TM), MED Protocol defined</w:t>
            </w:r>
          </w:p>
        </w:tc>
      </w:tr>
      <w:tr w:rsidR="000A4BF1" w14:paraId="5D9618A8" w14:textId="77777777">
        <w:tc>
          <w:tcPr>
            <w:tcW w:w="2299" w:type="dxa"/>
          </w:tcPr>
          <w:p w14:paraId="0318BF21" w14:textId="77777777" w:rsidR="000A4BF1" w:rsidRDefault="00000000">
            <w:pPr>
              <w:pStyle w:val="Compact"/>
            </w:pPr>
            <w:r>
              <w:t>Digital guidelines</w:t>
            </w:r>
          </w:p>
        </w:tc>
        <w:tc>
          <w:tcPr>
            <w:tcW w:w="2810" w:type="dxa"/>
          </w:tcPr>
          <w:p w14:paraId="67690DB5" w14:textId="77777777" w:rsidR="000A4BF1" w:rsidRDefault="00000000">
            <w:pPr>
              <w:pStyle w:val="Compact"/>
            </w:pPr>
            <w:r>
              <w:t>None</w:t>
            </w:r>
          </w:p>
        </w:tc>
        <w:tc>
          <w:tcPr>
            <w:tcW w:w="2810" w:type="dxa"/>
          </w:tcPr>
          <w:p w14:paraId="443FC5DA" w14:textId="77777777" w:rsidR="000A4BF1" w:rsidRDefault="00000000">
            <w:pPr>
              <w:pStyle w:val="Compact"/>
            </w:pPr>
            <w:r>
              <w:t>Full section: color system, buttons, typography specs, accessibility, social</w:t>
            </w:r>
          </w:p>
        </w:tc>
      </w:tr>
      <w:tr w:rsidR="000A4BF1" w14:paraId="70575CF5" w14:textId="77777777">
        <w:tc>
          <w:tcPr>
            <w:tcW w:w="2299" w:type="dxa"/>
          </w:tcPr>
          <w:p w14:paraId="623CC46A" w14:textId="77777777" w:rsidR="000A4BF1" w:rsidRDefault="00000000">
            <w:pPr>
              <w:pStyle w:val="Compact"/>
            </w:pPr>
            <w:r>
              <w:t>Social media</w:t>
            </w:r>
          </w:p>
        </w:tc>
        <w:tc>
          <w:tcPr>
            <w:tcW w:w="2810" w:type="dxa"/>
          </w:tcPr>
          <w:p w14:paraId="5047F91D" w14:textId="77777777" w:rsidR="000A4BF1" w:rsidRDefault="00000000">
            <w:pPr>
              <w:pStyle w:val="Compact"/>
            </w:pPr>
            <w:r>
              <w:t>None</w:t>
            </w:r>
          </w:p>
        </w:tc>
        <w:tc>
          <w:tcPr>
            <w:tcW w:w="2810" w:type="dxa"/>
          </w:tcPr>
          <w:p w14:paraId="742CA8DF" w14:textId="77777777" w:rsidR="000A4BF1" w:rsidRDefault="00000000">
            <w:pPr>
              <w:pStyle w:val="Compact"/>
            </w:pPr>
            <w:r>
              <w:t>@enyrgy.light as primary, profile image spec, content format guidance</w:t>
            </w:r>
          </w:p>
        </w:tc>
      </w:tr>
      <w:tr w:rsidR="000A4BF1" w14:paraId="6F210CE6" w14:textId="77777777">
        <w:tc>
          <w:tcPr>
            <w:tcW w:w="2299" w:type="dxa"/>
          </w:tcPr>
          <w:p w14:paraId="62961D0F" w14:textId="77777777" w:rsidR="000A4BF1" w:rsidRDefault="00000000">
            <w:pPr>
              <w:pStyle w:val="Compact"/>
            </w:pPr>
            <w:r>
              <w:t>Legal disclosures</w:t>
            </w:r>
          </w:p>
        </w:tc>
        <w:tc>
          <w:tcPr>
            <w:tcW w:w="2810" w:type="dxa"/>
          </w:tcPr>
          <w:p w14:paraId="33E5C49B" w14:textId="77777777" w:rsidR="000A4BF1" w:rsidRDefault="00000000">
            <w:pPr>
              <w:pStyle w:val="Compact"/>
            </w:pPr>
            <w:r>
              <w:t>Basic disclaimer only</w:t>
            </w:r>
          </w:p>
        </w:tc>
        <w:tc>
          <w:tcPr>
            <w:tcW w:w="2810" w:type="dxa"/>
          </w:tcPr>
          <w:p w14:paraId="10B44754" w14:textId="77777777" w:rsidR="000A4BF1" w:rsidRDefault="00000000">
            <w:pPr>
              <w:pStyle w:val="Compact"/>
            </w:pPr>
            <w:r>
              <w:t>Full required disclosures: age, FDA status, contraindications, research citation rules</w:t>
            </w:r>
          </w:p>
        </w:tc>
      </w:tr>
    </w:tbl>
    <w:p w14:paraId="61F8B3E9" w14:textId="76D9F5E3" w:rsidR="000A4BF1" w:rsidRDefault="000A4BF1"/>
    <w:p w14:paraId="1D1AE21D" w14:textId="77777777" w:rsidR="000A4BF1" w:rsidRDefault="00000000">
      <w:pPr>
        <w:pStyle w:val="FirstParagraph"/>
      </w:pPr>
      <w:r>
        <w:t>Contact: scott@enyrgy.com | enyrgy.com | @enyrgy.light</w:t>
      </w:r>
    </w:p>
    <w:p w14:paraId="2B613EAA" w14:textId="77777777" w:rsidR="000A4BF1" w:rsidRDefault="00000000">
      <w:pPr>
        <w:pStyle w:val="BodyText"/>
      </w:pPr>
      <w:r>
        <w:rPr>
          <w:i/>
          <w:iCs/>
        </w:rPr>
        <w:t>Enyrgy Brand Style Guide v2.0 | June 2026 | Confidential</w:t>
      </w:r>
      <w:bookmarkEnd w:id="0"/>
      <w:bookmarkEnd w:id="42"/>
    </w:p>
    <w:sectPr w:rsidR="000A4BF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4587F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CCB6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09257393">
    <w:abstractNumId w:val="0"/>
  </w:num>
  <w:num w:numId="2" w16cid:durableId="146265326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A4BF1"/>
    <w:rsid w:val="000A4BF1"/>
    <w:rsid w:val="001D16DB"/>
    <w:rsid w:val="008F2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2D17"/>
  <w15:docId w15:val="{BEB1F0CB-D3EA-FA46-8C13-3A8A47F3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3212</Words>
  <Characters>21682</Characters>
  <Application>Microsoft Office Word</Application>
  <DocSecurity>0</DocSecurity>
  <Lines>328</Lines>
  <Paragraphs>319</Paragraphs>
  <ScaleCrop>false</ScaleCrop>
  <Company/>
  <LinksUpToDate>false</LinksUpToDate>
  <CharactersWithSpaces>24575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Scott Hansbury</cp:lastModifiedBy>
  <cp:revision>2</cp:revision>
  <dcterms:created xsi:type="dcterms:W3CDTF">2026-08-24T15:15:00Z</dcterms:created>
  <dcterms:modified xsi:type="dcterms:W3CDTF">2026-08-26T00:03:00Z</dcterms:modified>
</cp:coreProperties>
</file>