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v3.9.7 Changes (Session 17, August 25, 2026):</w:t>
      </w:r>
      <w:r>
        <w:t xml:space="preserve"> </w:t>
      </w:r>
      <w:r>
        <w:t xml:space="preserve">Three weeks of drift closed.</w:t>
      </w:r>
      <w:r>
        <w:t xml:space="preserve"> </w:t>
      </w:r>
      <w:r>
        <w:rPr>
          <w:b/>
          <w:bCs/>
        </w:rPr>
        <w:t xml:space="preserve">The dealer deal registration system (WF-40 to WF-43, built August 19) was missing entirely</w:t>
      </w:r>
      <w:r>
        <w:t xml:space="preserve">, along with the Opportunity custom fields it runs on and the per-dealer form model; both are now in Section 12. Content rules in Section 14 gained the US English requirement and its enforcement gate, the tanning-bed rule, the corrected prevalence figure, the HSA/FSA phrasing lock, and a pointer to the new KB Section 16 on contraindications. Section 17 records the $10M current valuation. Section 18 gains an addendum table for everything sourced since v3.9.6. Section 19 documents the facility referral arrangement and its escalation rule. Section 1 finally applies the users-not-customers correction that v3.9.6 claimed.</w:t>
      </w:r>
      <w:r>
        <w:t xml:space="preserve"> </w:t>
      </w:r>
      <w:r>
        <w:rPr>
          <w:b/>
          <w:bCs/>
        </w:rPr>
        <w:t xml:space="preserve">Where a fact could not be sourced from the repository it is marked CONFIRM rather than guessed.</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Users</w:t>
            </w:r>
          </w:p>
        </w:tc>
        <w:tc>
          <w:tcPr/>
          <w:p>
            <w:pPr>
              <w:pStyle w:val="Compact"/>
              <w:jc w:val="left"/>
            </w:pPr>
            <w:r>
              <w:t xml:space="preserve">600+</w:t>
            </w:r>
          </w:p>
        </w:tc>
        <w:tc>
          <w:tcPr/>
          <w:p>
            <w:pPr>
              <w:pStyle w:val="Compact"/>
              <w:jc w:val="left"/>
            </w:pPr>
            <w:r>
              <w:t xml:space="preserve">Organic growth, zero paid advertising to date.</w:t>
            </w:r>
            <w:r>
              <w:t xml:space="preserve"> </w:t>
            </w:r>
            <w:r>
              <w:rPr>
                <w:b/>
                <w:bCs/>
              </w:rPr>
              <w:t xml:space="preserve">Say users, not customers</w:t>
            </w:r>
            <w:r>
              <w:t xml:space="preserve">: a home unit supports up to six users, so the two are not interchangeable and</w:t>
            </w:r>
            <w:r>
              <w:t xml:space="preserve"> </w:t>
            </w:r>
            <w:r>
              <w:t xml:space="preserve">“600+ customers”</w:t>
            </w:r>
            <w:r>
              <w:t xml:space="preserve"> </w:t>
            </w:r>
            <w:r>
              <w:t xml:space="preserve">overstates unit sales.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w:t>
            </w:r>
          </w:p>
        </w:tc>
        <w:tc>
          <w:tcPr/>
          <w:p>
            <w:pPr>
              <w:pStyle w:val="Compact"/>
              <w:jc w:val="left"/>
            </w:pPr>
            <w:r>
              <w:t xml:space="preserve">New Lead -&gt; Website Visit -&gt; Drip Active -&gt; Discovery Call -&gt; Demo Education -&gt; Order Financing -&gt; Ordered -&gt; Unit Shipped -&gt; User Activated -&gt; Active Customer</w:t>
            </w:r>
          </w:p>
        </w:tc>
      </w:tr>
      <w:tr>
        <w:tc>
          <w:tcPr/>
          <w:p>
            <w:pPr>
              <w:pStyle w:val="Compact"/>
              <w:jc w:val="left"/>
            </w:pPr>
            <w:r>
              <w:t xml:space="preserve">2 Commercial B2B Pipeline</w:t>
            </w:r>
          </w:p>
        </w:tc>
        <w:tc>
          <w:tcPr/>
          <w:p>
            <w:pPr>
              <w:pStyle w:val="Compact"/>
              <w:jc w:val="left"/>
            </w:pPr>
            <w:r>
              <w:t xml:space="preserve">Registration Submitted -&gt; Conflict Check -&gt; Prospect -&gt; Drip Active -&gt; Discovery -&gt; Proposal -&gt; Negotiation -&gt; Contract Signed -&gt; Unit Shipped -&gt; User Activated -&gt; Installation -&gt; Training</w:t>
            </w:r>
            <w:r>
              <w:t xml:space="preserve"> </w:t>
            </w:r>
            <w:r>
              <w:t xml:space="preserve">Scheduled -&gt; Training Complete -&gt; Active Customer</w:t>
            </w:r>
          </w:p>
        </w:tc>
      </w:tr>
      <w:tr>
        <w:tc>
          <w:tcPr/>
          <w:p>
            <w:pPr>
              <w:pStyle w:val="Compact"/>
              <w:jc w:val="left"/>
            </w:pPr>
            <w:r>
              <w:t xml:space="preserve">3 Investor ($3.5M Raise)</w:t>
            </w:r>
          </w:p>
        </w:tc>
        <w:tc>
          <w:tcPr/>
          <w:p>
            <w:pPr>
              <w:pStyle w:val="Compact"/>
              <w:jc w:val="left"/>
            </w:pPr>
            <w:r>
              <w:t xml:space="preserve">Identified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p>
      <w:pPr>
        <w:pStyle w:val="BodyText"/>
      </w:pPr>
      <w:r>
        <w:rPr>
          <w:b/>
          <w:bCs/>
        </w:rPr>
        <w:t xml:space="preserve">Stage probability is set deliberately, not by the default ladder.</w:t>
      </w:r>
      <w:r>
        <w:t xml:space="preserve"> </w:t>
      </w:r>
      <w:r>
        <w:t xml:space="preserve">GoHighLevel assigns probability by stage position when a pipeline is built, which spreads stages evenly from 0 to 100 and produces nonsense at both ends. Both revenue pipelines were corrected on 2026-08-18.</w:t>
      </w:r>
    </w:p>
    <w:p>
      <w:pPr>
        <w:pStyle w:val="BodyText"/>
      </w:pPr>
      <w:r>
        <w:t xml:space="preserve">The rule: probability is the chance of</w:t>
      </w:r>
      <w:r>
        <w:t xml:space="preserve"> </w:t>
      </w:r>
      <w:r>
        <w:rPr>
          <w:i/>
          <w:iCs/>
        </w:rPr>
        <w:t xml:space="preserve">winning</w:t>
      </w:r>
      <w:r>
        <w:t xml:space="preserve">, so it climbs through the sales stages and hits 100 at the point money is committed. Everything after that point is fulfillment, not forecast, and stays at 100.</w:t>
      </w:r>
    </w:p>
    <w:p>
      <w:pPr>
        <w:pStyle w:val="Compact"/>
        <w:numPr>
          <w:ilvl w:val="0"/>
          <w:numId w:val="1006"/>
        </w:numPr>
      </w:pPr>
      <w:r>
        <w:rPr>
          <w:b/>
          <w:bCs/>
        </w:rPr>
        <w:t xml:space="preserve">Commercial B2B:</w:t>
      </w:r>
      <w:r>
        <w:t xml:space="preserve"> </w:t>
      </w:r>
      <w:r>
        <w:t xml:space="preserve">Registration Submitted 0, Conflict Check 0, Prospect 5, Drip Active 10, Discovery 25, Proposal 50, Negotiation 75, then</w:t>
      </w:r>
      <w:r>
        <w:t xml:space="preserve"> </w:t>
      </w:r>
      <w:r>
        <w:rPr>
          <w:b/>
          <w:bCs/>
        </w:rPr>
        <w:t xml:space="preserve">Contract Signed 100</w:t>
      </w:r>
      <w:r>
        <w:t xml:space="preserve"> </w:t>
      </w:r>
      <w:r>
        <w:t xml:space="preserve">and every stage after it 100.</w:t>
      </w:r>
    </w:p>
    <w:p>
      <w:pPr>
        <w:pStyle w:val="Compact"/>
        <w:numPr>
          <w:ilvl w:val="0"/>
          <w:numId w:val="1006"/>
        </w:numPr>
      </w:pPr>
      <w:r>
        <w:rPr>
          <w:b/>
          <w:bCs/>
        </w:rPr>
        <w:t xml:space="preserve">Consumer:</w:t>
      </w:r>
      <w:r>
        <w:t xml:space="preserve"> </w:t>
      </w:r>
      <w:r>
        <w:t xml:space="preserve">New Lead 5, Website Visit 10, Drip Active 15, Discovery Call 30, Demo Education 45, Order Financing 70, then</w:t>
      </w:r>
      <w:r>
        <w:t xml:space="preserve"> </w:t>
      </w:r>
      <w:r>
        <w:rPr>
          <w:b/>
          <w:bCs/>
        </w:rPr>
        <w:t xml:space="preserve">Ordered 100</w:t>
      </w:r>
      <w:r>
        <w:t xml:space="preserve"> </w:t>
      </w:r>
      <w:r>
        <w:t xml:space="preserve">and every stage after it 100.</w:t>
      </w:r>
    </w:p>
    <w:p>
      <w:pPr>
        <w:pStyle w:val="FirstParagraph"/>
      </w:pPr>
      <w:r>
        <w:t xml:space="preserve">Registration Submitted and Conflict Check are also excluded from the funnel and pie charts. A dealer submission that has not cleared the conflict check is not a deal, and counting it distorts every conversion rate downstream.</w:t>
      </w:r>
    </w:p>
    <w:p>
      <w:pPr>
        <w:pStyle w:val="BodyText"/>
      </w:pPr>
      <w:r>
        <w:t xml:space="preserve">Stage and status are separate fields. A deal at Contract Signed still sits in the forecast until its</w:t>
      </w:r>
      <w:r>
        <w:t xml:space="preserve"> </w:t>
      </w:r>
      <w:r>
        <w:rPr>
          <w:b/>
          <w:bCs/>
        </w:rPr>
        <w:t xml:space="preserve">Status</w:t>
      </w:r>
      <w:r>
        <w:t xml:space="preserve"> </w:t>
      </w:r>
      <w:r>
        <w:t xml:space="preserve">flips to Won, so the close workflow sets both.</w:t>
      </w:r>
    </w:p>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7"/>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7"/>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7"/>
        </w:numPr>
      </w:pPr>
      <w:r>
        <w:t xml:space="preserve">Apply drip_bypass + investor_warm to skip cold drip and enroll in the warm sequence.</w:t>
      </w:r>
    </w:p>
    <w:p>
      <w:pPr>
        <w:numPr>
          <w:ilvl w:val="0"/>
          <w:numId w:val="1007"/>
        </w:numPr>
      </w:pPr>
      <w:r>
        <w:t xml:space="preserve">Apply drip_bypass alone to skip all drip enrollment for manually managed contacts.</w:t>
      </w:r>
    </w:p>
    <w:p>
      <w:pPr>
        <w:numPr>
          <w:ilvl w:val="0"/>
          <w:numId w:val="1007"/>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9"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d435e32d4d50adbb3dde89b2f7d1b6ee32f88d"/>
    <w:p>
      <w:pPr>
        <w:pStyle w:val="Heading2"/>
      </w:pPr>
      <w:r>
        <w:t xml:space="preserve">WF-21 through WF-29 (added Sessions 9 to 11,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Numbering gaps.</w:t>
      </w:r>
      <w:r>
        <w:t xml:space="preserve"> </w:t>
      </w:r>
      <w:r>
        <w:rPr>
          <w:b/>
          <w:bCs/>
        </w:rPr>
        <w:t xml:space="preserve">WF-23 and WF-24 do not appear in this register and are not documented anywhere in the repository.</w:t>
      </w:r>
      <w:r>
        <w:t xml:space="preserve"> </w:t>
      </w:r>
      <w:r>
        <w:t xml:space="preserve">Either the numbers were skipped when the block was allocated, or two workflows exist in GHL that nobody has written down.</w:t>
      </w:r>
      <w:r>
        <w:t xml:space="preserve"> </w:t>
      </w:r>
      <w:r>
        <w:rPr>
          <w:b/>
          <w:bCs/>
        </w:rPr>
        <w:t xml:space="preserve">CONFIRM against the live account.</w:t>
      </w:r>
      <w:r>
        <w:t xml:space="preserve"> </w:t>
      </w:r>
      <w:r>
        <w:t xml:space="preserve">WF-36 to WF-39 are likewise unallocated; the dealer registration block starts at WF-40.</w:t>
      </w:r>
    </w:p>
    <w:bookmarkEnd w:id="53"/>
    <w:bookmarkStart w:id="54" w:name="X9810ec7f62b2338d56466c983e3d36a26fc107d"/>
    <w:p>
      <w:pPr>
        <w:pStyle w:val="Heading2"/>
      </w:pPr>
      <w:r>
        <w:t xml:space="preserve">WF-30 through WF-35 (added Sessions 15 and 16)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3c4738bc9843a482d60919c864badabe81e6734"/>
    <w:p>
      <w:pPr>
        <w:pStyle w:val="Heading2"/>
      </w:pPr>
      <w:r>
        <w:t xml:space="preserve">WF-40 through WF-43 (Dealer Deal Registration, built August 19, 2026)</w:t>
      </w:r>
    </w:p>
    <w:p>
      <w:pPr>
        <w:pStyle w:val="FirstParagraph"/>
      </w:pPr>
      <w:r>
        <w:t xml:space="preserve">The commercial dealer program. Dealers resell the $8,950 commercial unit and earn 25 to 16 percent on the final sale price.</w:t>
      </w:r>
      <w:r>
        <w:t xml:space="preserve"> </w:t>
      </w:r>
      <w:r>
        <w:rPr>
          <w:b/>
          <w:bCs/>
        </w:rPr>
        <w:t xml:space="preserve">This is a different program from the facility referral arrangement in Section 19</w:t>
      </w:r>
      <w:r>
        <w:t xml:space="preserve">: different product, different terms, different people.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WF-40 Dealer Registration Received</w:t>
            </w:r>
          </w:p>
        </w:tc>
        <w:tc>
          <w:tcPr/>
          <w:p>
            <w:pPr>
              <w:pStyle w:val="Compact"/>
            </w:pPr>
            <w:r>
              <w:rPr>
                <w:b/>
                <w:bCs/>
              </w:rPr>
              <w:t xml:space="preserve">Form is any of</w:t>
            </w:r>
            <w:r>
              <w:t xml:space="preserve"> </w:t>
            </w:r>
            <w:r>
              <w:t xml:space="preserve">(one entry per dealer form)</w:t>
            </w:r>
          </w:p>
        </w:tc>
        <w:tc>
          <w:tcPr/>
          <w:p>
            <w:pPr>
              <w:pStyle w:val="Compact"/>
            </w:pPr>
            <w:r>
              <w:t xml:space="preserve">Create the opportunity, tag it, set</w:t>
            </w:r>
            <w:r>
              <w:t xml:space="preserve"> </w:t>
            </w:r>
            <w:r>
              <w:rPr>
                <w:rStyle w:val="VerbatimChar"/>
              </w:rPr>
              <w:t xml:space="preserve">Source Type = Dealer</w:t>
            </w:r>
            <w:r>
              <w:t xml:space="preserve">, apply</w:t>
            </w:r>
            <w:r>
              <w:t xml:space="preserve"> </w:t>
            </w:r>
            <w:r>
              <w:rPr>
                <w:rStyle w:val="VerbatimChar"/>
              </w:rPr>
              <w:t xml:space="preserve">no_route</w:t>
            </w:r>
            <w:r>
              <w:t xml:space="preserve">, alert Scott</w:t>
            </w:r>
          </w:p>
        </w:tc>
        <w:tc>
          <w:tcPr/>
          <w:p>
            <w:pPr>
              <w:pStyle w:val="Compact"/>
            </w:pPr>
            <w:r>
              <w:rPr>
                <w:b/>
                <w:bCs/>
              </w:rPr>
              <w:t xml:space="preserve">The trigger list is the single point of failure in the whole system.</w:t>
            </w:r>
            <w:r>
              <w:t xml:space="preserve"> </w:t>
            </w:r>
            <w:r>
              <w:t xml:space="preserve">A new dealer form that is not added here fails silently: the opportunity lands in</w:t>
            </w:r>
            <w:r>
              <w:t xml:space="preserve"> </w:t>
            </w:r>
            <w:r>
              <w:rPr>
                <w:rStyle w:val="VerbatimChar"/>
              </w:rPr>
              <w:t xml:space="preserve">Registration Submitted</w:t>
            </w:r>
            <w:r>
              <w:t xml:space="preserve"> </w:t>
            </w:r>
            <w:r>
              <w:t xml:space="preserve">with no tag, no Source Type and no alert, and the facility is not protected from consumer drip because</w:t>
            </w:r>
            <w:r>
              <w:t xml:space="preserve"> </w:t>
            </w:r>
            <w:r>
              <w:rPr>
                <w:rStyle w:val="VerbatimChar"/>
              </w:rPr>
              <w:t xml:space="preserve">no_route</w:t>
            </w:r>
            <w:r>
              <w:t xml:space="preserve"> </w:t>
            </w:r>
            <w:r>
              <w:t xml:space="preserve">never lands. See</w:t>
            </w:r>
            <w:r>
              <w:t xml:space="preserve"> </w:t>
            </w:r>
            <w:r>
              <w:rPr>
                <w:rStyle w:val="VerbatimChar"/>
              </w:rPr>
              <w:t xml:space="preserve">campaigns/dealer-onboarding.md</w:t>
            </w:r>
            <w:r>
              <w:t xml:space="preserve">.</w:t>
            </w:r>
          </w:p>
        </w:tc>
      </w:tr>
      <w:tr>
        <w:tc>
          <w:tcPr/>
          <w:p>
            <w:pPr>
              <w:pStyle w:val="Compact"/>
            </w:pPr>
            <w:r>
              <w:t xml:space="preserve">WF-41</w:t>
            </w:r>
          </w:p>
        </w:tc>
        <w:tc>
          <w:tcPr/>
          <w:p>
            <w:pPr>
              <w:pStyle w:val="Compact"/>
            </w:pPr>
            <w:r>
              <w:t xml:space="preserve">CONFIRM</w:t>
            </w:r>
          </w:p>
        </w:tc>
        <w:tc>
          <w:tcPr/>
          <w:p>
            <w:pPr>
              <w:pStyle w:val="Compact"/>
            </w:pPr>
            <w:r>
              <w:t xml:space="preserve">CONFIRM</w:t>
            </w:r>
          </w:p>
        </w:tc>
        <w:tc>
          <w:tcPr/>
          <w:p>
            <w:pPr>
              <w:pStyle w:val="Compact"/>
            </w:pPr>
            <w:r>
              <w:t xml:space="preserve">Not sourceable from the repository. Scott to supply.</w:t>
            </w:r>
          </w:p>
        </w:tc>
      </w:tr>
      <w:tr>
        <w:tc>
          <w:tcPr/>
          <w:p>
            <w:pPr>
              <w:pStyle w:val="Compact"/>
            </w:pPr>
            <w:r>
              <w:t xml:space="preserve">WF-42 Registration Expiry</w:t>
            </w:r>
          </w:p>
        </w:tc>
        <w:tc>
          <w:tcPr/>
          <w:p>
            <w:pPr>
              <w:pStyle w:val="Compact"/>
            </w:pPr>
            <w:r>
              <w:t xml:space="preserve">Wait 76 days, then Wait 14 days, gated on</w:t>
            </w:r>
            <w:r>
              <w:t xml:space="preserve"> </w:t>
            </w:r>
            <w:r>
              <w:rPr>
                <w:rStyle w:val="VerbatimChar"/>
              </w:rPr>
              <w:t xml:space="preserve">Opportunity status is Open</w:t>
            </w:r>
          </w:p>
        </w:tc>
        <w:tc>
          <w:tcPr/>
          <w:p>
            <w:pPr>
              <w:pStyle w:val="Compact"/>
            </w:pPr>
            <w:r>
              <w:t xml:space="preserve">Warn before a 90 day registration lapses, then close it out</w:t>
            </w:r>
          </w:p>
        </w:tc>
        <w:tc>
          <w:tcPr/>
          <w:p>
            <w:pPr>
              <w:pStyle w:val="Compact"/>
            </w:pPr>
            <w:r>
              <w:t xml:space="preserve">Built on Wait steps rather than date reminders, because</w:t>
            </w:r>
            <w:r>
              <w:t xml:space="preserve"> </w:t>
            </w:r>
            <w:r>
              <w:rPr>
                <w:b/>
                <w:bCs/>
              </w:rPr>
              <w:t xml:space="preserve">GHL date reminders are contact-only and a registration lives on the opportunity</w:t>
            </w:r>
            <w:r>
              <w:t xml:space="preserve">.</w:t>
            </w:r>
          </w:p>
        </w:tc>
      </w:tr>
      <w:tr>
        <w:tc>
          <w:tcPr/>
          <w:p>
            <w:pPr>
              <w:pStyle w:val="Compact"/>
            </w:pPr>
            <w:r>
              <w:t xml:space="preserve">WF-43</w:t>
            </w:r>
          </w:p>
        </w:tc>
        <w:tc>
          <w:tcPr/>
          <w:p>
            <w:pPr>
              <w:pStyle w:val="Compact"/>
            </w:pPr>
            <w:r>
              <w:t xml:space="preserve">CONFIRM</w:t>
            </w:r>
          </w:p>
        </w:tc>
        <w:tc>
          <w:tcPr/>
          <w:p>
            <w:pPr>
              <w:pStyle w:val="Compact"/>
            </w:pPr>
            <w:r>
              <w:t xml:space="preserve">CONFIRM</w:t>
            </w:r>
          </w:p>
        </w:tc>
        <w:tc>
          <w:tcPr/>
          <w:p>
            <w:pPr>
              <w:pStyle w:val="Compact"/>
            </w:pPr>
            <w:r>
              <w:t xml:space="preserve">Not sourceable from the repository. Scott to supply.</w:t>
            </w:r>
          </w:p>
        </w:tc>
      </w:tr>
    </w:tbl>
    <w:p>
      <w:pPr>
        <w:pStyle w:val="BodyText"/>
      </w:pPr>
      <w:r>
        <w:rPr>
          <w:b/>
          <w:bCs/>
        </w:rPr>
        <w:t xml:space="preserve">Registrations run a 90 day clock.</w:t>
      </w:r>
      <w:r>
        <w:t xml:space="preserve"> </w:t>
      </w:r>
      <w:r>
        <w:t xml:space="preserve">A dealer holds attribution on a named facility for 90 days from submission.</w:t>
      </w:r>
    </w:p>
    <w:p>
      <w:pPr>
        <w:pStyle w:val="BodyText"/>
      </w:pPr>
      <w:r>
        <w:rPr>
          <w:b/>
          <w:bCs/>
        </w:rPr>
        <w:t xml:space="preserve">Dealer confirmation email uses Send Internal Notification, not Send Email.</w:t>
      </w:r>
      <w:r>
        <w:t xml:space="preserve"> </w:t>
      </w:r>
      <w:r>
        <w:t xml:space="preserve">GHL’s</w:t>
      </w:r>
      <w:r>
        <w:t xml:space="preserve"> </w:t>
      </w:r>
      <w:r>
        <w:rPr>
          <w:rStyle w:val="VerbatimChar"/>
        </w:rPr>
        <w:t xml:space="preserve">Send Email</w:t>
      </w:r>
      <w:r>
        <w:t xml:space="preserve"> </w:t>
      </w:r>
      <w:r>
        <w:t xml:space="preserve">action can only reach the contact on the record, which on a dealer registration is the</w:t>
      </w:r>
      <w:r>
        <w:t xml:space="preserve"> </w:t>
      </w:r>
      <w:r>
        <w:rPr>
          <w:i/>
          <w:iCs/>
        </w:rPr>
        <w:t xml:space="preserve">facility</w:t>
      </w:r>
      <w:r>
        <w:t xml:space="preserve">, not the dealer. Sending the dealer’s confirmation with</w:t>
      </w:r>
      <w:r>
        <w:t xml:space="preserve"> </w:t>
      </w:r>
      <w:r>
        <w:rPr>
          <w:rStyle w:val="VerbatimChar"/>
        </w:rPr>
        <w:t xml:space="preserve">Send Email</w:t>
      </w:r>
      <w:r>
        <w:t xml:space="preserve"> </w:t>
      </w:r>
      <w:r>
        <w:t xml:space="preserve">delivers it to the prospect. The working build is</w:t>
      </w:r>
      <w:r>
        <w:t xml:space="preserve"> </w:t>
      </w:r>
      <w:r>
        <w:rPr>
          <w:rStyle w:val="VerbatimChar"/>
        </w:rPr>
        <w:t xml:space="preserve">Send Internal Notification</w:t>
      </w:r>
      <w:r>
        <w:t xml:space="preserve"> </w:t>
      </w:r>
      <w:r>
        <w:t xml:space="preserve">with</w:t>
      </w:r>
      <w:r>
        <w:t xml:space="preserve"> </w:t>
      </w:r>
      <w:r>
        <w:rPr>
          <w:rStyle w:val="VerbatimChar"/>
        </w:rPr>
        <w:t xml:space="preserve">To User Type: Custom email</w:t>
      </w:r>
      <w:r>
        <w:t xml:space="preserve"> </w:t>
      </w:r>
      <w:r>
        <w:t xml:space="preserve">and</w:t>
      </w:r>
      <w:r>
        <w:t xml:space="preserve"> </w:t>
      </w:r>
      <w:r>
        <w:rPr>
          <w:rStyle w:val="VerbatimChar"/>
        </w:rPr>
        <w:t xml:space="preserve">{{opportunity.dealer_email}}</w:t>
      </w:r>
      <w:r>
        <w:t xml:space="preserve"> </w:t>
      </w:r>
      <w:r>
        <w:t xml:space="preserve">inserted through the tag picker.</w:t>
      </w:r>
      <w:r>
        <w:t xml:space="preserve"> </w:t>
      </w:r>
      <w:r>
        <w:rPr>
          <w:b/>
          <w:bCs/>
        </w:rPr>
        <w:t xml:space="preserve">Typing the merge field by hand is rejected as invalid; it must be inserted from the picker.</w:t>
      </w:r>
    </w:p>
    <w:p>
      <w:pPr>
        <w:pStyle w:val="BodyText"/>
      </w:pPr>
      <w:r>
        <w:rPr>
          <w:b/>
          <w:bCs/>
        </w:rPr>
        <w:t xml:space="preserve">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$8,950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 (MAP floor)</w:t>
            </w:r>
          </w:p>
        </w:tc>
        <w:tc>
          <w:tcPr/>
          <w:p>
            <w:pPr>
              <w:pStyle w:val="Compact"/>
            </w:pPr>
            <w:r>
              <w:t xml:space="preserve">$7,160.00</w:t>
            </w:r>
          </w:p>
        </w:tc>
      </w:tr>
    </w:tbl>
    <w:p>
      <w:pPr>
        <w:pStyle w:val="BodyText"/>
      </w:pPr>
      <w:r>
        <w:t xml:space="preserve">Commission is calculated on the</w:t>
      </w:r>
      <w:r>
        <w:t xml:space="preserve"> </w:t>
      </w:r>
      <w:r>
        <w:rPr>
          <w:b/>
          <w:bCs/>
        </w:rPr>
        <w:t xml:space="preserve">actual sale price, expressed in USD</w:t>
      </w:r>
      <w:r>
        <w:t xml:space="preserve">, regardless of the dealer’s local currency. The program is</w:t>
      </w:r>
      <w:r>
        <w:t xml:space="preserve"> </w:t>
      </w:r>
      <w:r>
        <w:rPr>
          <w:b/>
          <w:bCs/>
        </w:rPr>
        <w:t xml:space="preserve">not US-only</w:t>
      </w:r>
      <w:r>
        <w:t xml:space="preserve">.</w:t>
      </w:r>
    </w:p>
    <w:bookmarkEnd w:id="55"/>
    <w:bookmarkStart w:id="56" w:name="X2698e74b1af9aaaf59965bb650c04f8b8dcdf99"/>
    <w:p>
      <w:pPr>
        <w:pStyle w:val="Heading2"/>
      </w:pPr>
      <w:r>
        <w:t xml:space="preserve">Opportunity custom fields (Dealer Registration folder, Session 17)</w:t>
      </w:r>
    </w:p>
    <w:p>
      <w:pPr>
        <w:pStyle w:val="FirstParagraph"/>
      </w:pPr>
      <w:r>
        <w:t xml:space="preserve">Held in</w:t>
      </w:r>
      <w:r>
        <w:t xml:space="preserve"> </w:t>
      </w:r>
      <w:r>
        <w:rPr>
          <w:rStyle w:val="VerbatimChar"/>
        </w:rPr>
        <w:t xml:space="preserve">Settings &gt; Custom Fields &gt; Opportunity &gt; Dealer Registration</w:t>
      </w:r>
      <w:r>
        <w:t xml:space="preserve">. These sit on the Opportunity object, not the Contact object, which is why the health-profile fields below are a separate list.</w:t>
      </w:r>
    </w:p>
    <w:p>
      <w:pPr>
        <w:pStyle w:val="Compact"/>
        <w:numPr>
          <w:ilvl w:val="0"/>
          <w:numId w:val="1008"/>
        </w:numPr>
      </w:pPr>
      <w:r>
        <w:rPr>
          <w:rStyle w:val="VerbatimChar"/>
          <w:b/>
          <w:bCs/>
        </w:rPr>
        <w:t xml:space="preserve">Dealer Name</w:t>
      </w:r>
      <w:r>
        <w:t xml:space="preserve"> </w:t>
      </w:r>
      <w:r>
        <w:t xml:space="preserve">(dropdown). Attribution that decides a commission cannot be free text with three spellings of the same company.</w:t>
      </w:r>
    </w:p>
    <w:p>
      <w:pPr>
        <w:pStyle w:val="Compact"/>
        <w:numPr>
          <w:ilvl w:val="0"/>
          <w:numId w:val="1008"/>
        </w:numPr>
      </w:pPr>
      <w:r>
        <w:rPr>
          <w:rStyle w:val="VerbatimChar"/>
          <w:b/>
          <w:bCs/>
        </w:rPr>
        <w:t xml:space="preserve">dealer_email</w:t>
      </w:r>
      <w:r>
        <w:t xml:space="preserve">. Feeds the confirmation notification described above.</w:t>
      </w:r>
    </w:p>
    <w:p>
      <w:pPr>
        <w:pStyle w:val="Compact"/>
        <w:numPr>
          <w:ilvl w:val="0"/>
          <w:numId w:val="1008"/>
        </w:numPr>
      </w:pPr>
      <w:r>
        <w:rPr>
          <w:rStyle w:val="VerbatimChar"/>
          <w:b/>
          <w:bCs/>
        </w:rPr>
        <w:t xml:space="preserve">Source Type</w:t>
      </w:r>
      <w:r>
        <w:t xml:space="preserve">. Set to</w:t>
      </w:r>
      <w:r>
        <w:t xml:space="preserve"> </w:t>
      </w:r>
      <w:r>
        <w:rPr>
          <w:rStyle w:val="VerbatimChar"/>
        </w:rPr>
        <w:t xml:space="preserve">Dealer</w:t>
      </w:r>
      <w:r>
        <w:t xml:space="preserve"> </w:t>
      </w:r>
      <w:r>
        <w:t xml:space="preserve">by WF-40.</w:t>
      </w:r>
    </w:p>
    <w:p>
      <w:pPr>
        <w:pStyle w:val="Compact"/>
        <w:numPr>
          <w:ilvl w:val="0"/>
          <w:numId w:val="1008"/>
        </w:numPr>
      </w:pPr>
      <w:r>
        <w:t xml:space="preserve">Remaining fields:</w:t>
      </w:r>
      <w:r>
        <w:t xml:space="preserve"> </w:t>
      </w:r>
      <w:r>
        <w:rPr>
          <w:b/>
          <w:bCs/>
        </w:rPr>
        <w:t xml:space="preserve">CONFIRM.</w:t>
      </w:r>
      <w:r>
        <w:t xml:space="preserve"> </w:t>
      </w:r>
      <w:r>
        <w:t xml:space="preserve">Scott to supply the full list from the GHL account.</w:t>
      </w:r>
    </w:p>
    <w:p>
      <w:pPr>
        <w:pStyle w:val="FirstParagraph"/>
      </w:pPr>
      <w:r>
        <w:rPr>
          <w:b/>
          <w:bCs/>
        </w:rPr>
        <w:t xml:space="preserve">There is one registration form per dealer, and this is deliberate.</w:t>
      </w:r>
      <w:r>
        <w:t xml:space="preserve"> </w:t>
      </w:r>
      <w:r>
        <w:t xml:space="preserve">A dropdown shows every option to whoever opens it, so a single shared form would let every dealer read the full roster and infer territory coverage and network size. GHL has no hidden-field option on this form type and its forms API is</w:t>
      </w:r>
      <w:r>
        <w:t xml:space="preserve"> </w:t>
      </w:r>
      <w:r>
        <w:rPr>
          <w:rStyle w:val="VerbatimChar"/>
        </w:rPr>
        <w:t xml:space="preserve">forms.readonly</w:t>
      </w:r>
      <w:r>
        <w:t xml:space="preserve">, so this cannot be automated away inside GHL. The master form is a template: never send it to anyone and never add a real dealer name to it. Full onboarding sequence in</w:t>
      </w:r>
      <w:r>
        <w:t xml:space="preserve"> </w:t>
      </w:r>
      <w:r>
        <w:rPr>
          <w:rStyle w:val="VerbatimChar"/>
        </w:rPr>
        <w:t xml:space="preserve">campaigns/dealer-onboarding.md</w:t>
      </w:r>
      <w:r>
        <w:t xml:space="preserve">.</w:t>
      </w:r>
    </w:p>
    <w:p>
      <w:pPr>
        <w:pStyle w:val="BodyText"/>
      </w:pPr>
      <w:r>
        <w:rPr>
          <w:rStyle w:val="VerbatimChar"/>
          <w:b/>
          <w:bCs/>
        </w:rPr>
        <w:t xml:space="preserve">Unassigned</w:t>
      </w:r>
      <w:r>
        <w:rPr>
          <w:b/>
          <w:bCs/>
        </w:rPr>
        <w:t xml:space="preserve"> </w:t>
      </w:r>
      <w:r>
        <w:rPr>
          <w:b/>
          <w:bCs/>
        </w:rPr>
        <w:t xml:space="preserve">is not a dealer.</w:t>
      </w:r>
      <w:r>
        <w:t xml:space="preserve"> </w:t>
      </w:r>
      <w:r>
        <w:t xml:space="preserve">It marks a registration that lost its attribution and must never be selectable on a live dealer form. 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and is a fault to investigate rather than a record to leave.</w:t>
      </w:r>
    </w:p>
    <w:bookmarkEnd w:id="56"/>
    <w:bookmarkStart w:id="57"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9"/>
        </w:numPr>
      </w:pPr>
      <w:r>
        <w:t xml:space="preserve">WF-12 (Tired Test): https://services.leadconnectorhq.com/hooks/GtXjla7Ld1dordsTWrVy/webhook-trigger/6c3a7c6c-f1fa-4c85-a03a-a1c42fdfb13d</w:t>
      </w:r>
    </w:p>
    <w:p>
      <w:pPr>
        <w:numPr>
          <w:ilvl w:val="0"/>
          <w:numId w:val="1009"/>
        </w:numPr>
      </w:pPr>
      <w:r>
        <w:t xml:space="preserve">WF-15 (Synthesis Gap): https://services.leadconnectorhq.com/hooks/GtXjla7Ld1dordsTWrVy/webhook-trigger/fd32493c-6ec1-4e55-9edb-75399aa53a34</w:t>
      </w:r>
    </w:p>
    <w:p>
      <w:pPr>
        <w:numPr>
          <w:ilvl w:val="0"/>
          <w:numId w:val="1009"/>
        </w:numPr>
      </w:pPr>
      <w:r>
        <w:t xml:space="preserve">WF-18 (Recovery): https://services.leadconnectorhq.com/hooks/GtXjla7Ld1dordsTWrVy/webhook-trigger/3ae538d7-81a9-42a7-9e18-5e7c8b19b84a</w:t>
      </w:r>
    </w:p>
    <w:p>
      <w:pPr>
        <w:numPr>
          <w:ilvl w:val="0"/>
          <w:numId w:val="1009"/>
        </w:numPr>
      </w:pPr>
      <w:r>
        <w:t xml:space="preserve">WF-19 (Winter Protocol): https://services.leadconnectorhq.com/hooks/GtXjla7Ld1dordsTWrVy/webhook-trigger/ad11ef02-14c8-4dbc-b1dd-bb5c9f3203bd</w:t>
      </w:r>
    </w:p>
    <w:p>
      <w:pPr>
        <w:numPr>
          <w:ilvl w:val="0"/>
          <w:numId w:val="1009"/>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7"/>
    <w:bookmarkStart w:id="58" w:name="lead-scoring-model"/>
    <w:p>
      <w:pPr>
        <w:pStyle w:val="Heading2"/>
      </w:pPr>
      <w:r>
        <w:t xml:space="preserve">Lead Scoring Model</w:t>
      </w:r>
    </w:p>
    <w:p>
      <w:pPr>
        <w:pStyle w:val="FirstParagraph"/>
      </w:pPr>
      <w:r>
        <w:t xml:space="preserve">Email Opened +6 · Appointment Confirmed +21 · Contact Reply +11 · Appointment Booked +21.</w:t>
      </w:r>
    </w:p>
    <w:bookmarkEnd w:id="58"/>
    <w:bookmarkEnd w:id="59"/>
    <w:bookmarkStart w:id="60"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60"/>
    <w:bookmarkStart w:id="69" w:name="section-14-content-rules-updated-in-v3.7"/>
    <w:p>
      <w:pPr>
        <w:pStyle w:val="Heading1"/>
      </w:pPr>
      <w:r>
        <w:t xml:space="preserve">SECTION 14: CONTENT RULES (UPDATED in v3.7)</w:t>
      </w:r>
    </w:p>
    <w:bookmarkStart w:id="61"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10"/>
        </w:numPr>
      </w:pPr>
      <w:r>
        <w:rPr>
          <w:b/>
          <w:bCs/>
        </w:rPr>
        <w:t xml:space="preserve">StorySelling OS</w:t>
      </w:r>
      <w:r>
        <w:t xml:space="preserve"> </w:t>
      </w:r>
      <w:r>
        <w:t xml:space="preserve">-&gt; NARRATIVE/story content ONLY (origin stories, testimonials, social content pulling traffic to guides).</w:t>
      </w:r>
    </w:p>
    <w:p>
      <w:pPr>
        <w:numPr>
          <w:ilvl w:val="0"/>
          <w:numId w:val="1010"/>
        </w:numPr>
      </w:pPr>
      <w:r>
        <w:rPr>
          <w:b/>
          <w:bCs/>
        </w:rPr>
        <w:t xml:space="preserve">eugene-skill / cub / copy-chief / humanize-pro</w:t>
      </w:r>
      <w:r>
        <w:t xml:space="preserve"> </w:t>
      </w:r>
      <w:r>
        <w:t xml:space="preserve">-&gt; conversion and research copy (landing pages, guides, conversion emails).</w:t>
      </w:r>
    </w:p>
    <w:p>
      <w:pPr>
        <w:numPr>
          <w:ilvl w:val="0"/>
          <w:numId w:val="1010"/>
        </w:numPr>
      </w:pPr>
      <w:r>
        <w:rPr>
          <w:b/>
          <w:bCs/>
        </w:rPr>
        <w:t xml:space="preserve">presell-sandwich</w:t>
      </w:r>
      <w:r>
        <w:t xml:space="preserve"> </w:t>
      </w:r>
      <w:r>
        <w:t xml:space="preserve">-&gt; Problem-Aware buyer copy.</w:t>
      </w:r>
    </w:p>
    <w:p>
      <w:pPr>
        <w:numPr>
          <w:ilvl w:val="0"/>
          <w:numId w:val="1010"/>
        </w:numPr>
      </w:pPr>
      <w:r>
        <w:rPr>
          <w:b/>
          <w:bCs/>
        </w:rPr>
        <w:t xml:space="preserve">offer-brief / offer-gravity</w:t>
      </w:r>
      <w:r>
        <w:t xml:space="preserve"> </w:t>
      </w:r>
      <w:r>
        <w:t xml:space="preserve">-&gt; offer framing.</w:t>
      </w:r>
    </w:p>
    <w:p>
      <w:pPr>
        <w:numPr>
          <w:ilvl w:val="0"/>
          <w:numId w:val="1010"/>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61"/>
    <w:bookmarkStart w:id="62" w:name="writing-rules"/>
    <w:p>
      <w:pPr>
        <w:pStyle w:val="Heading2"/>
      </w:pPr>
      <w:r>
        <w:t xml:space="preserve">Writing Rules</w:t>
      </w:r>
    </w:p>
    <w:p>
      <w:pPr>
        <w:numPr>
          <w:ilvl w:val="0"/>
          <w:numId w:val="1011"/>
        </w:numPr>
      </w:pPr>
      <w:r>
        <w:t xml:space="preserve">No m-dashes ever; use commas, periods, or rewrite.</w:t>
      </w:r>
    </w:p>
    <w:p>
      <w:pPr>
        <w:numPr>
          <w:ilvl w:val="0"/>
          <w:numId w:val="1011"/>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11"/>
        </w:numPr>
      </w:pPr>
      <w:r>
        <w:t xml:space="preserve">Treatments completed: 25,000+. Customers: 600+. Red light co-use: 90%.</w:t>
      </w:r>
    </w:p>
    <w:p>
      <w:pPr>
        <w:numPr>
          <w:ilvl w:val="0"/>
          <w:numId w:val="1011"/>
        </w:numPr>
      </w:pPr>
      <w:r>
        <w:t xml:space="preserve">Manufacturing / Facility: 5115 N 27th Ave, Bld 66, Phoenix, AZ 85017, Made in USA (relocated from Scottsdale; all labels, listings, and materials should reflect the new address).</w:t>
      </w:r>
    </w:p>
    <w:p>
      <w:pPr>
        <w:numPr>
          <w:ilvl w:val="0"/>
          <w:numId w:val="1011"/>
        </w:numPr>
      </w:pPr>
      <w:r>
        <w:t xml:space="preserve">Referral: $150 off referee, $100 credit referrer.</w:t>
      </w:r>
    </w:p>
    <w:p>
      <w:pPr>
        <w:numPr>
          <w:ilvl w:val="0"/>
          <w:numId w:val="1011"/>
        </w:numPr>
      </w:pPr>
      <w:r>
        <w:t xml:space="preserve">Per-session cost: $2.30 (1,300 sessions over 5 years).</w:t>
      </w:r>
    </w:p>
    <w:p>
      <w:pPr>
        <w:numPr>
          <w:ilvl w:val="0"/>
          <w:numId w:val="1011"/>
        </w:numPr>
      </w:pPr>
      <w:r>
        <w:t xml:space="preserve">Order URL: https://shop.enyrgy.com/products/uvb-light-therapy · Device Registration: https://api.enyrgy.com/</w:t>
      </w:r>
    </w:p>
    <w:bookmarkEnd w:id="62"/>
    <w:bookmarkStart w:id="63" w:name="X797d2c75cb682f40ae0a7775fed78efc1f71c46"/>
    <w:p>
      <w:pPr>
        <w:pStyle w:val="Heading2"/>
      </w:pPr>
      <w:r>
        <w:t xml:space="preserve">Mechanics (NEW in v3.9.7, enforced by a gate)</w:t>
      </w:r>
    </w:p>
    <w:p>
      <w:pPr>
        <w:numPr>
          <w:ilvl w:val="0"/>
          <w:numId w:val="1012"/>
        </w:numPr>
      </w:pPr>
      <w:r>
        <w:rPr>
          <w:b/>
          <w:bCs/>
        </w:rPr>
        <w:t xml:space="preserve">US English throughout.</w:t>
      </w:r>
      <w:r>
        <w:t xml:space="preserve"> </w:t>
      </w:r>
      <w:r>
        <w:t xml:space="preserve">No British spellings. Added to</w:t>
      </w:r>
      <w:r>
        <w:t xml:space="preserve"> </w:t>
      </w:r>
      <w:r>
        <w:rPr>
          <w:rStyle w:val="VerbatimChar"/>
        </w:rPr>
        <w:t xml:space="preserve">Enyrgy_Brand_Style_Guide_v2.md</w:t>
      </w:r>
      <w:r>
        <w:t xml:space="preserve"> </w:t>
      </w:r>
      <w:r>
        <w:t xml:space="preserve">section 05 after they appeared twice in client-facing drafts.</w:t>
      </w:r>
    </w:p>
    <w:p>
      <w:pPr>
        <w:numPr>
          <w:ilvl w:val="0"/>
          <w:numId w:val="1012"/>
        </w:numPr>
      </w:pPr>
      <w:r>
        <w:rPr>
          <w:b/>
          <w:bCs/>
        </w:rPr>
        <w:t xml:space="preserve">Enforcement is automatic.</w:t>
      </w:r>
      <w:r>
        <w:t xml:space="preserve"> </w:t>
      </w:r>
      <w:r>
        <w:rPr>
          <w:rStyle w:val="VerbatimChar"/>
        </w:rPr>
        <w:t xml:space="preserve">scripts/md2docx.py</w:t>
      </w:r>
      <w:r>
        <w:t xml:space="preserve"> </w:t>
      </w:r>
      <w:r>
        <w:t xml:space="preserve">checks every brand document for British spellings and em-dashes.</w:t>
      </w:r>
      <w:r>
        <w:t xml:space="preserve"> </w:t>
      </w:r>
      <w:r>
        <w:rPr>
          <w:rStyle w:val="VerbatimChar"/>
        </w:rPr>
        <w:t xml:space="preserve">.githooks/pre-commit</w:t>
      </w:r>
      <w:r>
        <w:t xml:space="preserve"> </w:t>
      </w:r>
      <w:r>
        <w:t xml:space="preserve">blocks any commit introducing either into root-level</w:t>
      </w:r>
      <w:r>
        <w:t xml:space="preserve"> </w:t>
      </w:r>
      <w:r>
        <w:rPr>
          <w:rStyle w:val="VerbatimChar"/>
        </w:rPr>
        <w:t xml:space="preserve">Enyrgy_*.md</w:t>
      </w:r>
      <w:r>
        <w:t xml:space="preserve"> </w:t>
      </w:r>
      <w:r>
        <w:t xml:space="preserve">or</w:t>
      </w:r>
      <w:r>
        <w:t xml:space="preserve"> </w:t>
      </w:r>
      <w:r>
        <w:rPr>
          <w:rStyle w:val="VerbatimChar"/>
        </w:rPr>
        <w:t xml:space="preserve">campaigns/*.md</w:t>
      </w:r>
      <w:r>
        <w:t xml:space="preserve">. Install once per clone with</w:t>
      </w:r>
      <w:r>
        <w:t xml:space="preserve"> </w:t>
      </w:r>
      <w:r>
        <w:rPr>
          <w:rStyle w:val="VerbatimChar"/>
        </w:rPr>
        <w:t xml:space="preserve">git config core.hooksPath .githooks</w:t>
      </w:r>
      <w:r>
        <w:t xml:space="preserve">. Escapes: wrap a legitimate quotation in</w:t>
      </w:r>
      <w:r>
        <w:t xml:space="preserve"> </w:t>
      </w:r>
      <w:r>
        <w:rPr>
          <w:rStyle w:val="VerbatimChar"/>
        </w:rPr>
        <w:t xml:space="preserve">&lt;!-- style-check: ignore --&gt;</w:t>
      </w:r>
      <w:r>
        <w:t xml:space="preserve"> </w:t>
      </w:r>
      <w:r>
        <w:t xml:space="preserve">and</w:t>
      </w:r>
      <w:r>
        <w:t xml:space="preserve"> </w:t>
      </w:r>
      <w:r>
        <w:rPr>
          <w:rStyle w:val="VerbatimChar"/>
        </w:rPr>
        <w:t xml:space="preserve">&lt;!-- style-check: resume --&gt;</w:t>
      </w:r>
      <w:r>
        <w:t xml:space="preserve">, or</w:t>
      </w:r>
      <w:r>
        <w:t xml:space="preserve"> </w:t>
      </w:r>
      <w:r>
        <w:rPr>
          <w:rStyle w:val="VerbatimChar"/>
        </w:rPr>
        <w:t xml:space="preserve">git commit --no-verify</w:t>
      </w:r>
      <w:r>
        <w:t xml:space="preserve">.</w:t>
      </w:r>
    </w:p>
    <w:bookmarkEnd w:id="63"/>
    <w:bookmarkStart w:id="64" w:name="positioning-rules-new-in-v3.9.7"/>
    <w:p>
      <w:pPr>
        <w:pStyle w:val="Heading2"/>
      </w:pPr>
      <w:r>
        <w:t xml:space="preserve">Positioning Rules (NEW in v3.9.7)</w:t>
      </w:r>
    </w:p>
    <w:p>
      <w:pPr>
        <w:numPr>
          <w:ilvl w:val="0"/>
          <w:numId w:val="1013"/>
        </w:numPr>
      </w:pPr>
      <w:r>
        <w:rPr>
          <w:b/>
          <w:bCs/>
        </w:rPr>
        <w:t xml:space="preserve">Never raise the tanning-bed comparison in outbound copy, even to deny it.</w:t>
      </w:r>
      <w:r>
        <w:t xml:space="preserve"> </w:t>
      </w:r>
      <w:r>
        <w:t xml:space="preserve">Naming it plants it. Applied August 18 to WF-22 Touch 2 and WF-13. Answering the comparison when a prospect raises it first is permitted; introducing it is not.</w:t>
      </w:r>
    </w:p>
    <w:p>
      <w:pPr>
        <w:numPr>
          <w:ilvl w:val="0"/>
          <w:numId w:val="1013"/>
        </w:numPr>
      </w:pPr>
      <w:r>
        <w:rPr>
          <w:b/>
          <w:bCs/>
        </w:rPr>
        <w:t xml:space="preserve">The app determines your skin type, it does not read it.</w:t>
      </w:r>
      <w:r>
        <w:t xml:space="preserve"> </w:t>
      </w:r>
      <w:r>
        <w:t xml:space="preserve">Corrected August 13 across the Consumer Drip and the KB.</w:t>
      </w:r>
    </w:p>
    <w:p>
      <w:pPr>
        <w:numPr>
          <w:ilvl w:val="0"/>
          <w:numId w:val="1013"/>
        </w:numPr>
      </w:pPr>
      <w:r>
        <w:rPr>
          <w:b/>
          <w:bCs/>
        </w:rPr>
        <w:t xml:space="preserve">Prevalence, the citable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(Cui et al.,</w:t>
      </w:r>
      <w:r>
        <w:t xml:space="preserve"> </w:t>
      </w:r>
      <w:r>
        <w:rPr>
          <w:i/>
          <w:iCs/>
        </w:rPr>
        <w:t xml:space="preserve">Frontiers in Nutrition</w:t>
      </w:r>
      <w:r>
        <w:t xml:space="preserve"> </w:t>
      </w:r>
      <w:r>
        <w:t xml:space="preserve">2023, PMC10064807).</w:t>
      </w:r>
      <w:r>
        <w:t xml:space="preserve"> </w:t>
      </w:r>
      <w:r>
        <w:rPr>
          <w:b/>
          <w:bCs/>
        </w:rPr>
        <w:t xml:space="preserve">This supersedes the previously unsourced 77 percent figure.</w:t>
      </w:r>
      <w:r>
        <w:t xml:space="preserve"> </w:t>
      </w:r>
      <w:r>
        <w:t xml:space="preserve">Three rules: below 30 is insufficiency or low status, never</w:t>
      </w:r>
      <w:r>
        <w:t xml:space="preserve"> </w:t>
      </w:r>
      <w:r>
        <w:t xml:space="preserve">“deficiency”</w:t>
      </w:r>
      <w:r>
        <w:t xml:space="preserve">; the population is global and aged 1 and over, so say</w:t>
      </w:r>
      <w:r>
        <w:t xml:space="preserve"> </w:t>
      </w:r>
      <w:r>
        <w:t xml:space="preserve">“people”</w:t>
      </w:r>
      <w:r>
        <w:t xml:space="preserve"> </w:t>
      </w:r>
      <w:r>
        <w:t xml:space="preserve">and never</w:t>
      </w:r>
      <w:r>
        <w:t xml:space="preserve"> </w:t>
      </w:r>
      <w:r>
        <w:t xml:space="preserve">“adults”</w:t>
      </w:r>
      <w:r>
        <w:t xml:space="preserve">,</w:t>
      </w:r>
      <w:r>
        <w:t xml:space="preserve"> </w:t>
      </w:r>
      <w:r>
        <w:t xml:space="preserve">“Americans”</w:t>
      </w:r>
      <w:r>
        <w:t xml:space="preserve"> </w:t>
      </w:r>
      <w:r>
        <w:t xml:space="preserve">or</w:t>
      </w:r>
      <w:r>
        <w:t xml:space="preserve"> </w:t>
      </w:r>
      <w:r>
        <w:t xml:space="preserve">“indoor”</w:t>
      </w:r>
      <w:r>
        <w:t xml:space="preserve">; and do not present it as a precise national rate. 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p>
    <w:p>
      <w:pPr>
        <w:numPr>
          <w:ilvl w:val="0"/>
          <w:numId w:val="1013"/>
        </w:numPr>
      </w:pPr>
      <w:r>
        <w:rPr>
          <w:b/>
          <w:bCs/>
        </w:rPr>
        <w:t xml:space="preserve">The sunny-climate objection has its own source.</w:t>
      </w:r>
      <w:r>
        <w:t xml:space="preserve"> </w:t>
      </w:r>
      <w:r>
        <w:t xml:space="preserve">Palacios and Gonzalez,</w:t>
      </w:r>
      <w:r>
        <w:t xml:space="preserve"> </w:t>
      </w:r>
      <w:r>
        <w:rPr>
          <w:i/>
          <w:iCs/>
        </w:rPr>
        <w:t xml:space="preserve">J Steroid Biochem Mol Biol</w:t>
      </w:r>
      <w:r>
        <w:t xml:space="preserve"> </w:t>
      </w:r>
      <w:r>
        <w:t xml:space="preserve">2014 (PMC4018438), whose Highlights state verbatim:</w:t>
      </w:r>
      <w:r>
        <w:t xml:space="preserve"> </w:t>
      </w:r>
      <w:r>
        <w:t xml:space="preserve">“Low vitamin D status is a problem even in countries with sun exposure all year round.”</w:t>
      </w:r>
      <w:r>
        <w:t xml:space="preserve"> </w:t>
      </w:r>
      <w:r>
        <w:t xml:space="preserve">It reports no single headline figure, so it cannot source the prevalence number, and it says nothing about devices, so never present it as support for the platform itself.</w:t>
      </w:r>
    </w:p>
    <w:p>
      <w:pPr>
        <w:numPr>
          <w:ilvl w:val="0"/>
          <w:numId w:val="1013"/>
        </w:numPr>
      </w:pPr>
      <w:r>
        <w:rPr>
          <w:b/>
          <w:bCs/>
        </w:rPr>
        <w:t xml:space="preserve">HSA/FSA: the only authorized phrasing is</w:t>
      </w:r>
      <w:r>
        <w:rPr>
          <w:b/>
          <w:bCs/>
        </w:rPr>
        <w:t xml:space="preserve"> </w:t>
      </w:r>
      <w:r>
        <w:rPr>
          <w:b/>
          <w:bCs/>
        </w:rPr>
        <w:t xml:space="preserve">“HSA/FSA eligible through Truemed”</w:t>
      </w:r>
      <w:r>
        <w:rPr>
          <w:b/>
          <w:bCs/>
        </w:rPr>
        <w:t xml:space="preserve">.</w:t>
      </w:r>
      <w:r>
        <w:t xml:space="preserve"> </w:t>
      </w:r>
      <w:r>
        <w:t xml:space="preserve">Never explain eligibility in condition-or-treatment terms and never describe the Letter of Medical Necessity, regardless of what Truemed’s own copy blocks say.</w:t>
      </w:r>
      <w:r>
        <w:t xml:space="preserve"> </w:t>
      </w:r>
      <w:r>
        <w:rPr>
          <w:b/>
          <w:bCs/>
        </w:rPr>
        <w:t xml:space="preserve">Eligibility covers the Consumer Unit only; the wall mount is excluded.</w:t>
      </w:r>
      <w:r>
        <w:t xml:space="preserve"> </w:t>
      </w:r>
      <w:r>
        <w:t xml:space="preserve">The test is who the buyer of record is: an individual buying their own Consumer Unit at</w:t>
      </w:r>
      <w:r>
        <w:t xml:space="preserve"> </w:t>
      </w:r>
      <w:r>
        <w:rPr>
          <w:rStyle w:val="VerbatimChar"/>
        </w:rPr>
        <w:t xml:space="preserve">shop.enyrgy.com</w:t>
      </w:r>
      <w:r>
        <w:t xml:space="preserve"> </w:t>
      </w:r>
      <w:r>
        <w:t xml:space="preserve">is eligible</w:t>
      </w:r>
      <w:r>
        <w:t xml:space="preserve"> </w:t>
      </w:r>
      <w:r>
        <w:rPr>
          <w:b/>
          <w:bCs/>
        </w:rPr>
        <w:t xml:space="preserve">even when they arrive through a facility’s referral link</w:t>
      </w:r>
      <w:r>
        <w:t xml:space="preserve">, because the transaction is still consumer to Enyrgy. A facility buying units for its business is not, and neither is any membership or session fee that includes Enyrgy access. Never suggest routing a facility purchase through an individual to obtain eligibility.</w:t>
      </w:r>
    </w:p>
    <w:bookmarkEnd w:id="64"/>
    <w:bookmarkStart w:id="65" w:name="X853e0a91a1e222f2ef618e244a96dd8e18997f9"/>
    <w:p>
      <w:pPr>
        <w:pStyle w:val="Heading2"/>
      </w:pPr>
      <w:r>
        <w:t xml:space="preserve">Health Questions and Contraindications (NEW in v3.9.7)</w:t>
      </w:r>
    </w:p>
    <w:p>
      <w:pPr>
        <w:pStyle w:val="FirstParagraph"/>
      </w:pPr>
      <w:r>
        <w:rPr>
          <w:b/>
          <w:bCs/>
        </w:rPr>
        <w:t xml:space="preserve">KB Section 16 governs any conversation where a person names a health condition, an injury or a medication.</w:t>
      </w:r>
      <w:r>
        <w:t xml:space="preserve"> </w:t>
      </w:r>
      <w:r>
        <w:t xml:space="preserve">It carries the contraindication list from the shipping User Manual plus the handling rules, and it is binding on every agent and every human writing outbound copy.</w:t>
      </w:r>
    </w:p>
    <w:p>
      <w:pPr>
        <w:pStyle w:val="BodyText"/>
      </w:pPr>
      <w:r>
        <w:t xml:space="preserve">The rules that matter operationally:</w:t>
      </w:r>
    </w:p>
    <w:p>
      <w:pPr>
        <w:pStyle w:val="Compact"/>
        <w:numPr>
          <w:ilvl w:val="0"/>
          <w:numId w:val="1014"/>
        </w:numPr>
      </w:pPr>
      <w:r>
        <w:rPr>
          <w:b/>
          <w:bCs/>
        </w:rPr>
        <w:t xml:space="preserve">Never clear anyone for use</w:t>
      </w:r>
      <w:r>
        <w:t xml:space="preserve">, and never treat absence from the contraindication list as clearance.</w:t>
      </w:r>
    </w:p>
    <w:p>
      <w:pPr>
        <w:pStyle w:val="Compact"/>
        <w:numPr>
          <w:ilvl w:val="0"/>
          <w:numId w:val="1014"/>
        </w:numPr>
      </w:pPr>
      <w:r>
        <w:rPr>
          <w:b/>
          <w:bCs/>
        </w:rPr>
        <w:t xml:space="preserve">Never send the platform’s benefit story as the answer to a health question.</w:t>
      </w:r>
    </w:p>
    <w:p>
      <w:pPr>
        <w:pStyle w:val="Compact"/>
        <w:numPr>
          <w:ilvl w:val="0"/>
          <w:numId w:val="1014"/>
        </w:numPr>
      </w:pPr>
      <w:r>
        <w:rPr>
          <w:b/>
          <w:bCs/>
        </w:rPr>
        <w:t xml:space="preserve">Do not solicit or record health details</w:t>
      </w:r>
      <w:r>
        <w:t xml:space="preserve"> </w:t>
      </w:r>
      <w:r>
        <w:t xml:space="preserve">in GHL custom fields, tags or notes. Escalate instead.</w:t>
      </w:r>
    </w:p>
    <w:p>
      <w:pPr>
        <w:pStyle w:val="Compact"/>
        <w:numPr>
          <w:ilvl w:val="0"/>
          <w:numId w:val="1014"/>
        </w:numPr>
      </w:pPr>
      <w:r>
        <w:rPr>
          <w:b/>
          <w:bCs/>
        </w:rPr>
        <w:t xml:space="preserve">Escalate to Scott</w:t>
      </w:r>
      <w:r>
        <w:t xml:space="preserve"> </w:t>
      </w:r>
      <w:r>
        <w:t xml:space="preserve">whenever a person names a specific condition, a medication, ongoing care, or asks for an arrangement outside a standard purchase.</w:t>
      </w:r>
    </w:p>
    <w:p>
      <w:pPr>
        <w:pStyle w:val="Compact"/>
        <w:numPr>
          <w:ilvl w:val="0"/>
          <w:numId w:val="1014"/>
        </w:numPr>
      </w:pPr>
      <w:r>
        <w:rPr>
          <w:b/>
          <w:bCs/>
        </w:rPr>
        <w:t xml:space="preserve">The contraindication list is the only standing exemption to the prohibited-words scan.</w:t>
      </w:r>
      <w:r>
        <w:t xml:space="preserve"> </w:t>
      </w:r>
      <w:r>
        <w:t xml:space="preserve">It needs the word</w:t>
      </w:r>
      <w:r>
        <w:t xml:space="preserve"> </w:t>
      </w:r>
      <w:r>
        <w:t xml:space="preserve">“diagnosed”</w:t>
      </w:r>
      <w:r>
        <w:t xml:space="preserve"> </w:t>
      </w:r>
      <w:r>
        <w:t xml:space="preserve">five times, and an agent scrubbing it to pass the scan breaks the disclosure.</w:t>
      </w:r>
    </w:p>
    <w:p>
      <w:pPr>
        <w:pStyle w:val="Compact"/>
        <w:numPr>
          <w:ilvl w:val="0"/>
          <w:numId w:val="1014"/>
        </w:numPr>
      </w:pPr>
      <w:r>
        <w:rPr>
          <w:b/>
          <w:bCs/>
        </w:rPr>
        <w:t xml:space="preserve">Use on intact skin only.</w:t>
      </w:r>
      <w:r>
        <w:t xml:space="preserve"> </w:t>
      </w:r>
      <w:r>
        <w:t xml:space="preserve">Sessions are taken on the torso, on unbroken healthy skin. Never pair the wound-repair research with usage instructions in the same passage.</w:t>
      </w:r>
    </w:p>
    <w:bookmarkEnd w:id="65"/>
    <w:bookmarkStart w:id="66" w:name="brand-standards-new-in-v3.7-locked"/>
    <w:p>
      <w:pPr>
        <w:pStyle w:val="Heading2"/>
      </w:pPr>
      <w:r>
        <w:t xml:space="preserve">Brand Standards (NEW in v3.7, locked)</w:t>
      </w:r>
    </w:p>
    <w:p>
      <w:pPr>
        <w:numPr>
          <w:ilvl w:val="0"/>
          <w:numId w:val="1015"/>
        </w:numPr>
      </w:pPr>
      <w:r>
        <w:t xml:space="preserve">Accent: Sunrise Orange #E64C38 only (NO violet/purple/amber).</w:t>
      </w:r>
    </w:p>
    <w:p>
      <w:pPr>
        <w:numPr>
          <w:ilvl w:val="0"/>
          <w:numId w:val="1015"/>
        </w:numPr>
      </w:pPr>
      <w:r>
        <w:t xml:space="preserve">Typography: Montserrat, all weights (Bely Bold Italic unavailable -&gt; all-Montserrat).</w:t>
      </w:r>
    </w:p>
    <w:p>
      <w:pPr>
        <w:numPr>
          <w:ilvl w:val="0"/>
          <w:numId w:val="1015"/>
        </w:numPr>
      </w:pPr>
      <w:r>
        <w:t xml:space="preserve">Text: Deep Charcoal #1A1A1A. Panels: Warm Off-White #F7F4EE, Calm Beige #ECE4CF. Line #E2DBC9. Muted #6B6B66.</w:t>
      </w:r>
    </w:p>
    <w:p>
      <w:pPr>
        <w:numPr>
          <w:ilvl w:val="0"/>
          <w:numId w:val="1015"/>
        </w:numPr>
      </w:pPr>
      <w:r>
        <w:t xml:space="preserve">Approved terms: BioCalibrated Sunshine™ (personalized-dosing/skin-type angle), Triple-Pathway Advantage™.</w:t>
      </w:r>
    </w:p>
    <w:bookmarkEnd w:id="66"/>
    <w:bookmarkStart w:id="67"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7"/>
    <w:bookmarkStart w:id="68"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8"/>
    <w:bookmarkEnd w:id="69"/>
    <w:bookmarkStart w:id="70" w:name="section-15-approved-talking-points"/>
    <w:p>
      <w:pPr>
        <w:pStyle w:val="Heading1"/>
      </w:pPr>
      <w:r>
        <w:t xml:space="preserve">SECTION 15: APPROVED TALKING POINTS</w:t>
      </w:r>
    </w:p>
    <w:p>
      <w:pPr>
        <w:numPr>
          <w:ilvl w:val="0"/>
          <w:numId w:val="1016"/>
        </w:numPr>
      </w:pPr>
      <w:r>
        <w:t xml:space="preserve">Every human body was meant to thrive on sunlight. We just made it safe, personalized and controllable.</w:t>
      </w:r>
    </w:p>
    <w:p>
      <w:pPr>
        <w:numPr>
          <w:ilvl w:val="0"/>
          <w:numId w:val="1016"/>
        </w:numPr>
      </w:pPr>
      <w:r>
        <w:t xml:space="preserve">Restore your body’s natural response to sunlight.</w:t>
      </w:r>
    </w:p>
    <w:p>
      <w:pPr>
        <w:numPr>
          <w:ilvl w:val="0"/>
          <w:numId w:val="1016"/>
        </w:numPr>
      </w:pPr>
      <w:r>
        <w:t xml:space="preserve">Activate three biological pathways in 2-4 minutes.</w:t>
      </w:r>
    </w:p>
    <w:p>
      <w:pPr>
        <w:numPr>
          <w:ilvl w:val="0"/>
          <w:numId w:val="1016"/>
        </w:numPr>
      </w:pPr>
      <w:r>
        <w:t xml:space="preserve">25,000+ sessions with zero adverse events.</w:t>
      </w:r>
    </w:p>
    <w:p>
      <w:pPr>
        <w:numPr>
          <w:ilvl w:val="0"/>
          <w:numId w:val="1016"/>
        </w:numPr>
      </w:pPr>
      <w:r>
        <w:t xml:space="preserve">100% of clinical study participants reached optimal Vitamin D levels.</w:t>
      </w:r>
    </w:p>
    <w:p>
      <w:pPr>
        <w:numPr>
          <w:ilvl w:val="0"/>
          <w:numId w:val="1016"/>
        </w:numPr>
      </w:pPr>
      <w:r>
        <w:t xml:space="preserve">2.4x more efficient than sunlight for Vitamin D synthesis.</w:t>
      </w:r>
    </w:p>
    <w:p>
      <w:pPr>
        <w:numPr>
          <w:ilvl w:val="0"/>
          <w:numId w:val="1016"/>
        </w:numPr>
      </w:pPr>
      <w:r>
        <w:t xml:space="preserve">App-controlled, personalized MED protocol, system shuts off automatically.</w:t>
      </w:r>
    </w:p>
    <w:p>
      <w:pPr>
        <w:numPr>
          <w:ilvl w:val="0"/>
          <w:numId w:val="1016"/>
        </w:numPr>
      </w:pPr>
      <w:r>
        <w:t xml:space="preserve">Less than 1% return rate, 5-10x better than industry average.</w:t>
      </w:r>
    </w:p>
    <w:p>
      <w:pPr>
        <w:numPr>
          <w:ilvl w:val="0"/>
          <w:numId w:val="1016"/>
        </w:numPr>
      </w:pPr>
      <w:r>
        <w:t xml:space="preserve">Manufactured in Phoenix, AZ, Made in USA.</w:t>
      </w:r>
    </w:p>
    <w:p>
      <w:pPr>
        <w:numPr>
          <w:ilvl w:val="0"/>
          <w:numId w:val="1016"/>
        </w:numPr>
      </w:pPr>
      <w:r>
        <w:t xml:space="preserve">600+ customers across 5 countries.</w:t>
      </w:r>
    </w:p>
    <w:p>
      <w:pPr>
        <w:numPr>
          <w:ilvl w:val="0"/>
          <w:numId w:val="1016"/>
        </w:numPr>
      </w:pPr>
      <w:r>
        <w:t xml:space="preserve">Lumanova selected our technology to launch Luma D Light.</w:t>
      </w:r>
    </w:p>
    <w:p>
      <w:pPr>
        <w:numPr>
          <w:ilvl w:val="0"/>
          <w:numId w:val="1016"/>
        </w:numPr>
      </w:pPr>
      <w:r>
        <w:t xml:space="preserve">$2,995 consumer / $8,950 commercial.</w:t>
      </w:r>
    </w:p>
    <w:p>
      <w:pPr>
        <w:numPr>
          <w:ilvl w:val="0"/>
          <w:numId w:val="1016"/>
        </w:numPr>
      </w:pPr>
      <w:r>
        <w:t xml:space="preserve">$2.30 per session at 5 sessions/week over 5 years.</w:t>
      </w:r>
    </w:p>
    <w:p>
      <w:pPr>
        <w:numPr>
          <w:ilvl w:val="0"/>
          <w:numId w:val="1016"/>
        </w:numPr>
      </w:pPr>
      <w:r>
        <w:t xml:space="preserve">90% of our customers also use red light therapy.</w:t>
      </w:r>
    </w:p>
    <w:p>
      <w:pPr>
        <w:numPr>
          <w:ilvl w:val="0"/>
          <w:numId w:val="1016"/>
        </w:numPr>
      </w:pPr>
      <w:r>
        <w:t xml:space="preserve">Sunlight. Evolved.</w:t>
      </w:r>
    </w:p>
    <w:bookmarkEnd w:id="70"/>
    <w:bookmarkStart w:id="73" w:name="section-16-commercial-roi-model"/>
    <w:p>
      <w:pPr>
        <w:pStyle w:val="Heading1"/>
      </w:pPr>
      <w:r>
        <w:t xml:space="preserve">SECTION 16: COMMERCIAL ROI MODEL</w:t>
      </w:r>
    </w:p>
    <w:bookmarkStart w:id="71"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71"/>
    <w:bookmarkStart w:id="72"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72"/>
    <w:bookmarkEnd w:id="73"/>
    <w:bookmarkStart w:id="74"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p>
      <w:pPr>
        <w:pStyle w:val="BodyText"/>
      </w:pPr>
      <w:r>
        <w:rPr>
          <w:b/>
          <w:bCs/>
        </w:rPr>
        <w:t xml:space="preserve">Current company valuation: $10M</w:t>
      </w:r>
      <w:r>
        <w:t xml:space="preserve"> </w:t>
      </w:r>
      <w:r>
        <w:t xml:space="preserve">(recorded August 16, 2026). 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tbl>
      <w:tblPr>
        <w:tblStyle w:val="Table"/>
        <w:tblW w:type="pct" w:w="490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74"/>
    <w:bookmarkStart w:id="76" w:name="section-18-key-reference-data"/>
    <w:p>
      <w:pPr>
        <w:pStyle w:val="Heading1"/>
      </w:pPr>
      <w:r>
        <w:t xml:space="preserve">SECTION 18: KEY REFERENCE DATA</w:t>
      </w:r>
    </w:p>
    <w:tbl>
      <w:tblPr>
        <w:tblStyle w:val="Table"/>
        <w:tblW w:type="pct" w:w="49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Start w:id="75" w:name="added-since-v3.9.6"/>
    <w:p>
      <w:pPr>
        <w:pStyle w:val="Heading2"/>
      </w:pPr>
      <w:r>
        <w:t xml:space="preserve">Added since v3.9.6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Point</w:t>
            </w:r>
          </w:p>
        </w:tc>
        <w:tc>
          <w:tcPr/>
          <w:p>
            <w:pPr>
              <w:pStyle w:val="Compact"/>
            </w:pPr>
            <w:r>
              <w:t xml:space="preserve">Value</w:t>
            </w:r>
          </w:p>
        </w:tc>
        <w:tc>
          <w:tcPr/>
          <w:p>
            <w:pPr>
              <w:pStyle w:val="Compact"/>
            </w:pPr>
            <w:r>
              <w:t xml:space="preserve">Use In</w:t>
            </w:r>
          </w:p>
        </w:tc>
      </w:tr>
      <w:tr>
        <w:tc>
          <w:tcPr/>
          <w:p>
            <w:pPr>
              <w:pStyle w:val="Compact"/>
            </w:pPr>
            <w:r>
              <w:t xml:space="preserve">Current company valuation</w:t>
            </w:r>
          </w:p>
        </w:tc>
        <w:tc>
          <w:tcPr/>
          <w:p>
            <w:pPr>
              <w:pStyle w:val="Compact"/>
            </w:pPr>
            <w:r>
              <w:t xml:space="preserve">$10M (Aug 16, 2026)</w:t>
            </w:r>
          </w:p>
        </w:tc>
        <w:tc>
          <w:tcPr/>
          <w:p>
            <w:pPr>
              <w:pStyle w:val="Compact"/>
            </w:pPr>
            <w:r>
              <w:t xml:space="preserve">Investor conversations. Never as the conversion price.</w:t>
            </w:r>
          </w:p>
        </w:tc>
      </w:tr>
      <w:tr>
        <w:tc>
          <w:tcPr/>
          <w:p>
            <w:pPr>
              <w:pStyle w:val="Compact"/>
            </w:pPr>
            <w:r>
              <w:t xml:space="preserve">Prevalence, low vitamin D</w:t>
            </w:r>
          </w:p>
        </w:tc>
        <w:tc>
          <w:tcPr/>
          <w:p>
            <w:pPr>
              <w:pStyle w:val="Compact"/>
            </w:pPr>
            <w:r>
              <w:t xml:space="preserve">76.6 percent of people below 30 ng/mL (Cui 2023)</w:t>
            </w:r>
          </w:p>
        </w:tc>
        <w:tc>
          <w:tcPr/>
          <w:p>
            <w:pPr>
              <w:pStyle w:val="Compact"/>
            </w:pPr>
            <w:r>
              <w:t xml:space="preserve">All funnels. Supersedes the unsourced 77 percent.</w:t>
            </w:r>
          </w:p>
        </w:tc>
      </w:tr>
      <w:tr>
        <w:tc>
          <w:tcPr/>
          <w:p>
            <w:pPr>
              <w:pStyle w:val="Compact"/>
            </w:pPr>
            <w:r>
              <w:t xml:space="preserve">Facility referral commission</w:t>
            </w:r>
          </w:p>
        </w:tc>
        <w:tc>
          <w:tcPr/>
          <w:p>
            <w:pPr>
              <w:pStyle w:val="Compact"/>
            </w:pPr>
            <w:r>
              <w:t xml:space="preserve">$600 per Consumer Unit sale</w:t>
            </w:r>
          </w:p>
        </w:tc>
        <w:tc>
          <w:tcPr/>
          <w:p>
            <w:pPr>
              <w:pStyle w:val="Compact"/>
            </w:pPr>
            <w:r>
              <w:t xml:space="preserve">Commercial Drip Touch 7. Escalate terms to Scott.</w:t>
            </w:r>
          </w:p>
        </w:tc>
      </w:tr>
      <w:tr>
        <w:tc>
          <w:tcPr/>
          <w:p>
            <w:pPr>
              <w:pStyle w:val="Compact"/>
            </w:pPr>
            <w:r>
              <w:t xml:space="preserve">Dealer commission ladder</w:t>
            </w:r>
          </w:p>
        </w:tc>
        <w:tc>
          <w:tcPr/>
          <w:p>
            <w:pPr>
              <w:pStyle w:val="Compact"/>
            </w:pPr>
            <w:r>
              <w:t xml:space="preserve">25 / 20 / 16 percent on final sale price</w:t>
            </w:r>
          </w:p>
        </w:tc>
        <w:tc>
          <w:tcPr/>
          <w:p>
            <w:pPr>
              <w:pStyle w:val="Compact"/>
            </w:pPr>
            <w:r>
              <w:t xml:space="preserve">Dealer program only, see Section 12</w:t>
            </w:r>
          </w:p>
        </w:tc>
      </w:tr>
      <w:tr>
        <w:tc>
          <w:tcPr/>
          <w:p>
            <w:pPr>
              <w:pStyle w:val="Compact"/>
            </w:pPr>
            <w:r>
              <w:t xml:space="preserve">Commercial unit footprint</w:t>
            </w:r>
          </w:p>
        </w:tc>
        <w:tc>
          <w:tcPr/>
          <w:p>
            <w:pPr>
              <w:pStyle w:val="Compact"/>
            </w:pPr>
            <w:r>
              <w:t xml:space="preserve">approximately 4 ft by 4 ft</w:t>
            </w:r>
          </w:p>
        </w:tc>
        <w:tc>
          <w:tcPr/>
          <w:p>
            <w:pPr>
              <w:pStyle w:val="Compact"/>
            </w:pPr>
            <w:r>
              <w:t xml:space="preserve">First practical objection a facility raises</w:t>
            </w:r>
          </w:p>
        </w:tc>
      </w:tr>
      <w:tr>
        <w:tc>
          <w:tcPr/>
          <w:p>
            <w:pPr>
              <w:pStyle w:val="Compact"/>
            </w:pPr>
            <w:r>
              <w:t xml:space="preserve">Commercial client pricing</w:t>
            </w:r>
          </w:p>
        </w:tc>
        <w:tc>
          <w:tcPr/>
          <w:p>
            <w:pPr>
              <w:pStyle w:val="Compact"/>
            </w:pPr>
            <w:r>
              <w:t xml:space="preserve">$49 to $125 per month per client, set by market</w:t>
            </w:r>
          </w:p>
        </w:tc>
        <w:tc>
          <w:tcPr/>
          <w:p>
            <w:pPr>
              <w:pStyle w:val="Compact"/>
            </w:pPr>
            <w:r>
              <w:t xml:space="preserve">Commercial funnel</w:t>
            </w:r>
          </w:p>
        </w:tc>
      </w:tr>
      <w:tr>
        <w:tc>
          <w:tcPr/>
          <w:p>
            <w:pPr>
              <w:pStyle w:val="Compact"/>
            </w:pPr>
            <w:r>
              <w:t xml:space="preserve">Founder track record</w:t>
            </w:r>
          </w:p>
        </w:tc>
        <w:tc>
          <w:tcPr/>
          <w:p>
            <w:pPr>
              <w:pStyle w:val="Compact"/>
            </w:pPr>
            <w:r>
              <w:t xml:space="preserve">Five exits from eight previous startups, $500M+; plus eleven M&amp;A transactions led, $249M</w:t>
            </w:r>
          </w:p>
        </w:tc>
        <w:tc>
          <w:tcPr/>
          <w:p>
            <w:pPr>
              <w:pStyle w:val="Compact"/>
            </w:pPr>
            <w:r>
              <w:t xml:space="preserve">Investor conversations.</w:t>
            </w:r>
            <w:r>
              <w:t xml:space="preserve"> </w:t>
            </w:r>
            <w:r>
              <w:rPr>
                <w:b/>
                <w:bCs/>
              </w:rPr>
              <w:t xml:space="preserve">State the two figures separately, never combine.</w:t>
            </w:r>
          </w:p>
        </w:tc>
      </w:tr>
      <w:tr>
        <w:tc>
          <w:tcPr/>
          <w:p>
            <w:pPr>
              <w:pStyle w:val="Compact"/>
            </w:pPr>
            <w:r>
              <w:t xml:space="preserve">HSA/FSA</w:t>
            </w:r>
          </w:p>
        </w:tc>
        <w:tc>
          <w:tcPr/>
          <w:p>
            <w:pPr>
              <w:pStyle w:val="Compact"/>
            </w:pPr>
            <w:r>
              <w:t xml:space="preserve">“HSA/FSA eligible through Truemed”</w:t>
            </w:r>
            <w:r>
              <w:t xml:space="preserve">, Consumer Unit only</w:t>
            </w:r>
          </w:p>
        </w:tc>
        <w:tc>
          <w:tcPr/>
          <w:p>
            <w:pPr>
              <w:pStyle w:val="Compact"/>
            </w:pPr>
            <w:r>
              <w:t xml:space="preserve">Consumer funnel, see Section 14</w:t>
            </w:r>
          </w:p>
        </w:tc>
      </w:tr>
    </w:tbl>
    <w:bookmarkEnd w:id="75"/>
    <w:bookmarkEnd w:id="76"/>
    <w:bookmarkStart w:id="80" w:name="X17ff4415c04741fc8a2aa7a70f1e07a23764a6c"/>
    <w:p>
      <w:pPr>
        <w:pStyle w:val="Heading1"/>
      </w:pPr>
      <w:r>
        <w:t xml:space="preserve">SECTION 19: OEM / WHITE-LABEL PARTNER PROGRAM</w:t>
      </w:r>
    </w:p>
    <w:bookmarkStart w:id="77" w:name="current-partner-lumanova-luma-d-light"/>
    <w:p>
      <w:pPr>
        <w:pStyle w:val="Heading2"/>
      </w:pPr>
      <w:r>
        <w:t xml:space="preserve">Current Partner, Lumanova / Luma D Light</w:t>
      </w:r>
    </w:p>
    <w:tbl>
      <w:tblPr>
        <w:tblStyle w:val="Table"/>
        <w:tblW w:type="pct" w:w="491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7"/>
    <w:bookmarkStart w:id="78" w:name="Xb9fc2bd3abb295fbc0fc3f6e5c1fe9fe826a6b0"/>
    <w:p>
      <w:pPr>
        <w:pStyle w:val="Heading2"/>
      </w:pPr>
      <w:r>
        <w:t xml:space="preserve">Facility Referral Arrangement (ESCALATE TO SCOTT)</w:t>
      </w:r>
    </w:p>
    <w:p>
      <w:pPr>
        <w:pStyle w:val="FirstParagraph"/>
      </w:pPr>
      <w:r>
        <w:rPr>
          <w:b/>
          <w:bCs/>
        </w:rPr>
        <w:t xml:space="preserve">Agents must not run this conversation.</w:t>
      </w:r>
      <w:r>
        <w:t xml:space="preserve"> </w:t>
      </w:r>
      <w:r>
        <w:t xml:space="preserve">Scott handles referral arrangements personally (decision, August 14, 2026).</w:t>
      </w:r>
    </w:p>
    <w:p>
      <w:pPr>
        <w:pStyle w:val="BodyText"/>
      </w:pP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w:t>
      </w:r>
    </w:p>
    <w:p>
      <w:pPr>
        <w:pStyle w:val="BodyText"/>
      </w:pPr>
      <w:r>
        <w:rPr>
          <w:b/>
          <w:bCs/>
        </w:rPr>
        <w:t xml:space="preserve">The commission is $600 per Consumer Unit sale.</w:t>
      </w:r>
      <w:r>
        <w:t xml:space="preserve"> </w:t>
      </w:r>
      <w:r>
        <w:t xml:space="preserve">This figure appears in Commercial Drip Touch 7, so a facility that received that email already has it. An agent may confirm the figure if a facility quotes it back, but</w:t>
      </w:r>
      <w:r>
        <w:t xml:space="preserve"> </w:t>
      </w:r>
      <w:r>
        <w:rPr>
          <w:b/>
          <w:bCs/>
        </w:rPr>
        <w:t xml:space="preserve">must not negotiate, extend, or discuss terms.</w:t>
      </w:r>
      <w:r>
        <w:t xml:space="preserve"> </w:t>
      </w:r>
      <w:r>
        <w:t xml:space="preserve">Hand off to Scott, the same as white-label and distribution.</w:t>
      </w:r>
    </w:p>
    <w:p>
      <w:pPr>
        <w:pStyle w:val="BodyText"/>
      </w:pPr>
      <w:r>
        <w:t xml:space="preserve">Because the member is the buyer of record, that purchase is HSA/FSA eligible. The referral link does not change whose purchase it is. See the HSA/FSA rules in Section 14.</w:t>
      </w:r>
    </w:p>
    <w:p>
      <w:pPr>
        <w:pStyle w:val="BodyText"/>
      </w:pPr>
      <w:r>
        <w:rPr>
          <w:b/>
          <w:bCs/>
        </w:rPr>
        <w:t xml:space="preserve">This is not the dealer program.</w:t>
      </w:r>
      <w:r>
        <w:t xml:space="preserve"> </w:t>
      </w:r>
      <w:r>
        <w:t xml:space="preserve">Dealers resell the $8,950 commercial unit and earn 25 to 16 percent under the deal registration system in Section 12. The two are separate and should never be described in the same breath to a prospect.</w:t>
      </w:r>
    </w:p>
    <w:bookmarkEnd w:id="78"/>
    <w:bookmarkStart w:id="7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9"/>
    <w:bookmarkEnd w:id="80"/>
    <w:bookmarkStart w:id="8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8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81"/>
    <w:bookmarkStart w:id="8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82"/>
    <w:bookmarkStart w:id="83" w:name="X381182024df858e43a1c7682279a9e1b008a029"/>
    <w:p>
      <w:pPr>
        <w:pStyle w:val="Heading2"/>
      </w:pPr>
      <w:r>
        <w:t xml:space="preserve">Commercial, Investor, Partner/Vendor Channels</w:t>
      </w:r>
    </w:p>
    <w:p>
      <w:pPr>
        <w:numPr>
          <w:ilvl w:val="0"/>
          <w:numId w:val="1017"/>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7"/>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7"/>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83"/>
    <w:bookmarkEnd w:id="84"/>
    <w:bookmarkStart w:id="8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85"/>
    <w:bookmarkStart w:id="90" w:name="section-22-client-type-playbooks"/>
    <w:p>
      <w:pPr>
        <w:pStyle w:val="Heading1"/>
      </w:pPr>
      <w:r>
        <w:t xml:space="preserve">SECTION 22: CLIENT TYPE PLAYBOOKS</w:t>
      </w:r>
    </w:p>
    <w:bookmarkStart w:id="86" w:name="consumer-playbook-discovery-questions"/>
    <w:p>
      <w:pPr>
        <w:pStyle w:val="Heading2"/>
      </w:pPr>
      <w:r>
        <w:t xml:space="preserve">Consumer Playbook, Discovery Questions</w:t>
      </w:r>
    </w:p>
    <w:tbl>
      <w:tblPr>
        <w:tblStyle w:val="Table"/>
        <w:tblW w:type="pct" w:w="493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86"/>
    <w:bookmarkStart w:id="87" w:name="top-consumer-objections"/>
    <w:p>
      <w:pPr>
        <w:pStyle w:val="Heading2"/>
      </w:pPr>
      <w:r>
        <w:t xml:space="preserve">Top Consumer Objections</w:t>
      </w:r>
    </w:p>
    <w:p>
      <w:pPr>
        <w:numPr>
          <w:ilvl w:val="0"/>
          <w:numId w:val="1018"/>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8"/>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8"/>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8"/>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8"/>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7"/>
    <w:bookmarkStart w:id="8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9"/>
        </w:numPr>
      </w:pPr>
      <w:r>
        <w:rPr>
          <w:b/>
          <w:bCs/>
        </w:rPr>
        <w:t xml:space="preserve">We already have red light:</w:t>
      </w:r>
      <w:r>
        <w:t xml:space="preserve"> </w:t>
      </w:r>
      <w:r>
        <w:t xml:space="preserve">90% of Enyrgy customers use both, different biological purposes. Upsell, not replacement.</w:t>
      </w:r>
    </w:p>
    <w:p>
      <w:pPr>
        <w:numPr>
          <w:ilvl w:val="0"/>
          <w:numId w:val="1019"/>
        </w:numPr>
      </w:pPr>
      <w:r>
        <w:rPr>
          <w:b/>
          <w:bCs/>
        </w:rPr>
        <w:t xml:space="preserve">Would clients pay?:</w:t>
      </w:r>
      <w:r>
        <w:t xml:space="preserve"> </w:t>
      </w:r>
      <w:r>
        <w:t xml:space="preserve">About three-quarters of people have vitamin D below 30 ng/mL. Operators charge $40-$75/session.</w:t>
      </w:r>
    </w:p>
    <w:p>
      <w:pPr>
        <w:numPr>
          <w:ilvl w:val="0"/>
          <w:numId w:val="1019"/>
        </w:numPr>
      </w:pPr>
      <w:r>
        <w:rPr>
          <w:b/>
          <w:bCs/>
        </w:rPr>
        <w:t xml:space="preserve">Staff training?:</w:t>
      </w:r>
      <w:r>
        <w:t xml:space="preserve"> </w:t>
      </w:r>
      <w:r>
        <w:t xml:space="preserve">Included; the app calculates each client’s MED and controls the session.</w:t>
      </w:r>
    </w:p>
    <w:bookmarkEnd w:id="88"/>
    <w:bookmarkStart w:id="89" w:name="investor-playbook-pitch-flow"/>
    <w:p>
      <w:pPr>
        <w:pStyle w:val="Heading2"/>
      </w:pPr>
      <w:r>
        <w:t xml:space="preserve">Investor Playbook, Pitch Flow</w:t>
      </w:r>
    </w:p>
    <w:p>
      <w:pPr>
        <w:numPr>
          <w:ilvl w:val="0"/>
          <w:numId w:val="1020"/>
        </w:numPr>
      </w:pPr>
      <w:r>
        <w:t xml:space="preserve">Company &amp; Problem (5 min): about three-quarters of people have vitamin D below 30 ng/mL, about one in four trial participants were low responders to supplementation, no scalable UVB solution.</w:t>
      </w:r>
    </w:p>
    <w:p>
      <w:pPr>
        <w:numPr>
          <w:ilvl w:val="0"/>
          <w:numId w:val="1020"/>
        </w:numPr>
      </w:pPr>
      <w:r>
        <w:t xml:space="preserve">Solution &amp; Technology (5 min): triple pathway, app-controlled, patented LED card, Made in Phoenix AZ.</w:t>
      </w:r>
    </w:p>
    <w:p>
      <w:pPr>
        <w:numPr>
          <w:ilvl w:val="0"/>
          <w:numId w:val="1020"/>
        </w:numPr>
      </w:pPr>
      <w:r>
        <w:t xml:space="preserve">Traction (5 min): 600+ customers, 25,000+ treatments, &lt;1% return, 5 countries, $14,700+ MRR, zero paid ads.</w:t>
      </w:r>
    </w:p>
    <w:p>
      <w:pPr>
        <w:numPr>
          <w:ilvl w:val="0"/>
          <w:numId w:val="1020"/>
        </w:numPr>
      </w:pPr>
      <w:r>
        <w:t xml:space="preserve">Market &amp; Model (5 min): $2,995/$8,950/OEM, 66-78% margins.</w:t>
      </w:r>
    </w:p>
    <w:p>
      <w:pPr>
        <w:numPr>
          <w:ilvl w:val="0"/>
          <w:numId w:val="1020"/>
        </w:numPr>
      </w:pPr>
      <w:r>
        <w:t xml:space="preserve">The Ask (3 min): $3.5M private credit at 12%/3yr, $50K min, exit $100-150M in 5 years (10-15x).</w:t>
      </w:r>
    </w:p>
    <w:p>
      <w:pPr>
        <w:numPr>
          <w:ilvl w:val="0"/>
          <w:numId w:val="1020"/>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9"/>
    <w:bookmarkEnd w:id="90"/>
    <w:bookmarkStart w:id="91" w:name="section-23-contact"/>
    <w:p>
      <w:pPr>
        <w:pStyle w:val="Heading1"/>
      </w:pPr>
      <w:r>
        <w:t xml:space="preserve">SECTION 23: CONTACT</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91"/>
    <w:bookmarkStart w:id="98" w:name="X2eb0bc4ebcb5446a412218d313bed2b732c6680"/>
    <w:p>
      <w:pPr>
        <w:pStyle w:val="Heading1"/>
      </w:pPr>
      <w:r>
        <w:t xml:space="preserve">SECTION 24: CONSUMER FUNNEL: ICP-DARTBOARD SYSTEM (NEW in v3.7)</w:t>
      </w:r>
    </w:p>
    <w:bookmarkStart w:id="9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92"/>
    <w:bookmarkStart w:id="93" w:name="end-to-end-routing"/>
    <w:p>
      <w:pPr>
        <w:pStyle w:val="Heading2"/>
      </w:pPr>
      <w:r>
        <w:t xml:space="preserve">End-to-End Routing</w:t>
      </w:r>
    </w:p>
    <w:tbl>
      <w:tblPr>
        <w:tblStyle w:val="Table"/>
        <w:tblW w:type="pct" w:w="491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93"/>
    <w:bookmarkStart w:id="9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21"/>
        </w:numPr>
      </w:pPr>
      <w:r>
        <w:t xml:space="preserve">magnet_lead, marks a lead-magnet entrant (suppression marker).</w:t>
      </w:r>
    </w:p>
    <w:p>
      <w:pPr>
        <w:numPr>
          <w:ilvl w:val="0"/>
          <w:numId w:val="1021"/>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94"/>
    <w:bookmarkStart w:id="95" w:name="the-magnets"/>
    <w:p>
      <w:pPr>
        <w:pStyle w:val="Heading2"/>
      </w:pPr>
      <w:r>
        <w:t xml:space="preserve">The Magnets</w:t>
      </w:r>
    </w:p>
    <w:tbl>
      <w:tblPr>
        <w:tblStyle w:val="Table"/>
        <w:tblW w:type="pct" w:w="495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95"/>
    <w:bookmarkStart w:id="96" w:name="email-series"/>
    <w:p>
      <w:pPr>
        <w:pStyle w:val="Heading2"/>
      </w:pPr>
      <w:r>
        <w:t xml:space="preserve">Email Series</w:t>
      </w:r>
    </w:p>
    <w:tbl>
      <w:tblPr>
        <w:tblStyle w:val="Table"/>
        <w:tblW w:type="pct" w:w="488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96"/>
    <w:bookmarkStart w:id="97" w:name="landing-page-deploy-recipe-proven"/>
    <w:p>
      <w:pPr>
        <w:pStyle w:val="Heading2"/>
      </w:pPr>
      <w:r>
        <w:t xml:space="preserve">Landing-Page Deploy Recipe (proven)</w:t>
      </w:r>
    </w:p>
    <w:p>
      <w:pPr>
        <w:numPr>
          <w:ilvl w:val="0"/>
          <w:numId w:val="1022"/>
        </w:numPr>
      </w:pPr>
      <w:r>
        <w:t xml:space="preserve">Create funnel + step; clean slug from the start.</w:t>
      </w:r>
    </w:p>
    <w:p>
      <w:pPr>
        <w:numPr>
          <w:ilvl w:val="0"/>
          <w:numId w:val="1022"/>
        </w:numPr>
      </w:pPr>
      <w:r>
        <w:t xml:space="preserve">Custom HTML/JavaScript element on a blank step; paste page HTML.</w:t>
      </w:r>
    </w:p>
    <w:p>
      <w:pPr>
        <w:numPr>
          <w:ilvl w:val="0"/>
          <w:numId w:val="1022"/>
        </w:numPr>
      </w:pPr>
      <w:r>
        <w:t xml:space="preserve">Section -&gt; Width: Full.</w:t>
      </w:r>
    </w:p>
    <w:p>
      <w:pPr>
        <w:numPr>
          <w:ilvl w:val="0"/>
          <w:numId w:val="1022"/>
        </w:numPr>
      </w:pPr>
      <w:r>
        <w:t xml:space="preserve">“Allow Rows to take entire width”</w:t>
      </w:r>
      <w:r>
        <w:t xml:space="preserve"> </w:t>
      </w:r>
      <w:r>
        <w:t xml:space="preserve">-&gt; ON.</w:t>
      </w:r>
    </w:p>
    <w:p>
      <w:pPr>
        <w:numPr>
          <w:ilvl w:val="0"/>
          <w:numId w:val="1022"/>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22"/>
        </w:numPr>
      </w:pPr>
      <w:r>
        <w:t xml:space="preserve">Connect domain, Publish.</w:t>
      </w:r>
    </w:p>
    <w:p>
      <w:pPr>
        <w:numPr>
          <w:ilvl w:val="0"/>
          <w:numId w:val="1022"/>
        </w:numPr>
      </w:pPr>
      <w:r>
        <w:t xml:space="preserve">Verify in Chrome incognito (NOT Safari, over-caches).</w:t>
      </w:r>
    </w:p>
    <w:p>
      <w:pPr>
        <w:numPr>
          <w:ilvl w:val="0"/>
          <w:numId w:val="1022"/>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2026-08-26T05:02:31Z</dcterms:created>
  <dcterms:modified xsi:type="dcterms:W3CDTF">2026-08-26T05:02:31Z</dcterms:modified>
</cp:coreProperties>
</file>

<file path=docProps/custom.xml><?xml version="1.0" encoding="utf-8"?>
<Properties xmlns="http://schemas.openxmlformats.org/officeDocument/2006/custom-properties" xmlns:vt="http://schemas.openxmlformats.org/officeDocument/2006/docPropsVTypes"/>
</file>