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Phantom-completion</w:t>
      </w:r>
      <w:r>
        <w:rPr>
          <w:b/>
          <w:bCs/>
        </w:rPr>
        <w:t xml:space="preserve"> </w:t>
      </w:r>
      <w:r>
        <w:rPr>
          <w:b/>
          <w:bCs/>
        </w:rPr>
        <w:t xml:space="preserve">“bug”</w:t>
      </w:r>
      <w:r>
        <w:rPr>
          <w:b/>
          <w:bCs/>
        </w:rPr>
        <w:t xml:space="preserve"> </w:t>
      </w:r>
      <w:r>
        <w:rPr>
          <w:b/>
          <w:bCs/>
        </w:rPr>
        <w:t xml:space="preserve">— INVESTIGATED, NOT A REAL BUG (July 28).</w:t>
      </w:r>
      <w:r>
        <w:t xml:space="preserve"> </w:t>
      </w:r>
      <w:r>
        <w:t xml:space="preserve">Read the recovery state machine (</w:t>
      </w:r>
      <w:r>
        <w:rPr>
          <w:rStyle w:val="VerbatimChar"/>
        </w:rPr>
        <w:t xml:space="preserve">server/src/services/recovery/service.ts</w:t>
      </w:r>
      <w:r>
        <w:t xml:space="preserve">). Credit/budget failures classify as</w:t>
      </w:r>
      <w:r>
        <w:t xml:space="preserve"> </w:t>
      </w:r>
      <w:r>
        <w:rPr>
          <w:rStyle w:val="VerbatimChar"/>
        </w:rPr>
        <w:t xml:space="preserve">non_retryable</w:t>
      </w:r>
      <w:r>
        <w:t xml:space="preserve"> </w:t>
      </w:r>
      <w:r>
        <w:t xml:space="preserve">and route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; the 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transition is the watchdog-evaluation false-positive fold (which requires a succeeded source run), and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isn’t even specially handled (falls through to the generic blocked path). There is NO code path that marks a work issue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on a credit failure. The</w:t>
      </w:r>
      <w:r>
        <w:t xml:space="preserve"> </w:t>
      </w:r>
      <w:r>
        <w:t xml:space="preserve">“ENY-24 flipped to done”</w:t>
      </w:r>
      <w:r>
        <w:t xml:space="preserve"> </w:t>
      </w:r>
      <w:r>
        <w:t xml:space="preserve">claim was another COO confabulation from the credit-starvation window (same unreliable source as the ENY-20 false alarm). No code change made; inventing a fix for a non-existent bug is exactly the anti-pattern the confabulation lesson warns against.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FlexOffers affiliate attribution — BUILT July 29</w:t>
      </w:r>
      <w:r>
        <w:t xml:space="preserve"> </w:t>
      </w:r>
      <w:r>
        <w:t xml:space="preserve">(full detail in the Handoff). Capture-and-postback design: the Tired Test captures FlexOffers’</w:t>
      </w:r>
      <w:r>
        <w:t xml:space="preserve"> </w:t>
      </w:r>
      <w:r>
        <w:rPr>
          <w:rStyle w:val="VerbatimChar"/>
        </w:rPr>
        <w:t xml:space="preserve">refid</w:t>
      </w:r>
      <w:r>
        <w:t xml:space="preserve"> </w:t>
      </w:r>
      <w:r>
        <w:t xml:space="preserve">click ID, stores it on the GHL contact, and fires a server-to-server postback when a device sale ships. Program</w:t>
      </w:r>
      <w:r>
        <w:t xml:space="preserve"> </w:t>
      </w:r>
      <w:r>
        <w:rPr>
          <w:b/>
          <w:bCs/>
        </w:rPr>
        <w:t xml:space="preserve">Enyrgy - Tired Test (S2S) #250377</w:t>
      </w:r>
      <w:r>
        <w:t xml:space="preserve">, default campaign #144482449, creative #6673704, workflow</w:t>
      </w:r>
      <w:r>
        <w:t xml:space="preserve"> </w:t>
      </w:r>
      <w:r>
        <w:rPr>
          <w:b/>
          <w:bCs/>
        </w:rPr>
        <w:t xml:space="preserve">WF-30 FlexOffers Sale Postback</w:t>
      </w:r>
      <w:r>
        <w:t xml:space="preserve">. Payout</w:t>
      </w:r>
      <w:r>
        <w:t xml:space="preserve"> </w:t>
      </w:r>
      <w:r>
        <w:rPr>
          <w:b/>
          <w:bCs/>
        </w:rPr>
        <w:t xml:space="preserve">$600 fixed CPA</w:t>
      </w:r>
      <w:r>
        <w:t xml:space="preserve">, Return Days 365, Manual Review approval, Deep Linking off. VERIFIED working: refid capture from URL, storage to the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contact field via WF-12, product filter, refid condition.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FlexOffers: wire the remaining lead magnets (3 of 5 done)</w:t>
      </w:r>
      <w:r>
        <w:t xml:space="preserve"> </w:t>
      </w:r>
      <w:r>
        <w:t xml:space="preserve">— STRUCTURE: one program (250377) with a</w:t>
      </w:r>
      <w:r>
        <w:t xml:space="preserve"> </w:t>
      </w:r>
      <w:r>
        <w:rPr>
          <w:b/>
          <w:bCs/>
        </w:rPr>
        <w:t xml:space="preserve">campaign per lead magnet</w:t>
      </w:r>
      <w:r>
        <w:t xml:space="preserve">, since the destination URL lives at the campaign level while tracking, payout, and publisher approvals sit at the program level. A publisher applies once and can then promote whichever magnet fits their audience. Per magnet the work is: (1) add the refid capture code to the page, (2) one test submission so GHL learns the field, (3) map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in that magnet’s capture workflow, (4) create its FlexOffers campaign + creative. Only step 4 is blocked on FlexOffers.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Tired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/tired-test</w:t>
      </w:r>
      <w:r>
        <w:t xml:space="preserve">, WF-12) — page + mapping done and verified with a real FlexOffers refid. Page in repo at</w:t>
      </w:r>
      <w:r>
        <w:t xml:space="preserve"> </w:t>
      </w:r>
      <w:r>
        <w:rPr>
          <w:rStyle w:val="VerbatimChar"/>
        </w:rPr>
        <w:t xml:space="preserve">lead-magnets/tired-test.html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Vitamin D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/vitamin-d-assessment</w:t>
      </w:r>
      <w:r>
        <w:t xml:space="preserve">, WF-21, webhook</w:t>
      </w:r>
      <w:r>
        <w:t xml:space="preserve"> </w:t>
      </w:r>
      <w:r>
        <w:rPr>
          <w:rStyle w:val="VerbatimChar"/>
        </w:rPr>
        <w:t xml:space="preserve">d2692dc6-1e9f-466c-8525-58c466c426bd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lead-magnets/vitamin-d-assessment.html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Synthesis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/synthesis-gap</w:t>
      </w:r>
      <w:r>
        <w:t xml:space="preserve">, WF-15, webhook</w:t>
      </w:r>
      <w:r>
        <w:t xml:space="preserve"> </w:t>
      </w:r>
      <w:r>
        <w:rPr>
          <w:rStyle w:val="VerbatimChar"/>
        </w:rPr>
        <w:t xml:space="preserve">fd32493c-6ec1-4e55-9edb-75399aa53a34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lead-magnets/synthesis-gap.html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Recovery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/recovery-protocol</w:t>
      </w:r>
      <w:r>
        <w:t xml:space="preserve">, WF-18, webhook</w:t>
      </w:r>
      <w:r>
        <w:t xml:space="preserve"> </w:t>
      </w:r>
      <w:r>
        <w:rPr>
          <w:rStyle w:val="VerbatimChar"/>
        </w:rPr>
        <w:t xml:space="preserve">3ae538d7-81a9-42a7-9e18-5e7c8b19b84a</w:t>
      </w:r>
      <w:r>
        <w:t xml:space="preserve">)</w:t>
      </w:r>
    </w:p>
    <w:p>
      <w:pPr>
        <w:pStyle w:val="Compact"/>
        <w:numPr>
          <w:ilvl w:val="1"/>
          <w:numId w:val="101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Winter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/winter-protocol</w:t>
      </w:r>
      <w:r>
        <w:t xml:space="preserve">, WF-19, webhook</w:t>
      </w:r>
      <w:r>
        <w:t xml:space="preserve"> </w:t>
      </w:r>
      <w:r>
        <w:rPr>
          <w:rStyle w:val="VerbatimChar"/>
        </w:rPr>
        <w:t xml:space="preserve">ad11ef02-14c8-4dbc-b1dd-bb5c9f3203bd</w:t>
      </w:r>
      <w:r>
        <w:t xml:space="preserve">)</w:t>
      </w:r>
    </w:p>
    <w:p>
      <w:pPr>
        <w:pStyle w:val="Compact"/>
        <w:numPr>
          <w:ilvl w:val="1"/>
          <w:numId w:val="1019"/>
        </w:numPr>
      </w:pPr>
      <w:r>
        <w:t xml:space="preserve">NOTE: the three remaining are guides rather than quizzes, so their pages will have simpler forms, but the change is the same three additions.</w:t>
      </w:r>
    </w:p>
    <w:p>
      <w:pPr>
        <w:pStyle w:val="Compact"/>
        <w:numPr>
          <w:ilvl w:val="1"/>
          <w:numId w:val="1019"/>
        </w:numPr>
      </w:pPr>
      <w:r>
        <w:t xml:space="preserve">RECOMMENDATION: do not block the affiliate launch on all five. Launch with the Tired Test (fully tested) as soon as publishers are migrated, and add magnets as they are wired.</w:t>
      </w:r>
    </w:p>
    <w:p>
      <w:pPr>
        <w:pStyle w:val="Compact"/>
        <w:numPr>
          <w:ilvl w:val="1"/>
          <w:numId w:val="1019"/>
        </w:numPr>
      </w:pPr>
      <w:r>
        <w:t xml:space="preserve">☐ Rename program 250377 from</w:t>
      </w:r>
      <w:r>
        <w:t xml:space="preserve"> </w:t>
      </w:r>
      <w:r>
        <w:t xml:space="preserve">“Enyrgy - Tired Test (S2S)”</w:t>
      </w:r>
      <w:r>
        <w:t xml:space="preserve"> </w:t>
      </w:r>
      <w:r>
        <w:t xml:space="preserve">to something like</w:t>
      </w:r>
      <w:r>
        <w:t xml:space="preserve"> </w:t>
      </w:r>
      <w:r>
        <w:t xml:space="preserve">“Enyrgy Affiliate Program”</w:t>
      </w:r>
      <w:r>
        <w:t xml:space="preserve">, since it will host all magnets (asked the rep whether renaming is possible).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FlexOffers remaining (waiting on the FlexOffers rep, emailed July 29)</w:t>
      </w:r>
    </w:p>
    <w:p>
      <w:pPr>
        <w:pStyle w:val="Compact"/>
        <w:numPr>
          <w:ilvl w:val="1"/>
          <w:numId w:val="1021"/>
        </w:numPr>
      </w:pPr>
      <w:r>
        <w:t xml:space="preserve">Get a</w:t>
      </w:r>
      <w:r>
        <w:t xml:space="preserve"> </w:t>
      </w:r>
      <w:r>
        <w:rPr>
          <w:b/>
          <w:bCs/>
        </w:rPr>
        <w:t xml:space="preserve">test tracking link</w:t>
      </w:r>
      <w:r>
        <w:t xml:space="preserve"> </w:t>
      </w:r>
      <w:r>
        <w:t xml:space="preserve">for 250377, click it, confirm it lands on the quiz with</w:t>
      </w:r>
      <w:r>
        <w:t xml:space="preserve"> </w:t>
      </w:r>
      <w:r>
        <w:rPr>
          <w:rStyle w:val="VerbatimChar"/>
        </w:rPr>
        <w:t xml:space="preserve">?refid=24.…</w:t>
      </w:r>
      <w:r>
        <w:t xml:space="preserve">, complete the quiz, verify the contact’s FlexOffers Refid populates. Free verification of the click-to-capture path.</w:t>
      </w:r>
    </w:p>
    <w:p>
      <w:pPr>
        <w:pStyle w:val="Compact"/>
        <w:numPr>
          <w:ilvl w:val="1"/>
          <w:numId w:val="1022"/>
        </w:numPr>
      </w:pPr>
      <w:r>
        <w:t xml:space="preserve">Ask FlexOffers to</w:t>
      </w:r>
      <w:r>
        <w:t xml:space="preserve"> </w:t>
      </w:r>
      <w:r>
        <w:rPr>
          <w:b/>
          <w:bCs/>
        </w:rPr>
        <w:t xml:space="preserve">surface program 250377</w:t>
      </w:r>
      <w:r>
        <w:t xml:space="preserve"> </w:t>
      </w:r>
      <w:r>
        <w:t xml:space="preserve">to the network and migrate the</w:t>
      </w:r>
      <w:r>
        <w:t xml:space="preserve"> </w:t>
      </w:r>
      <w:r>
        <w:rPr>
          <w:b/>
          <w:bCs/>
        </w:rPr>
        <w:t xml:space="preserve">124 publishers</w:t>
      </w:r>
      <w:r>
        <w:t xml:space="preserve"> </w:t>
      </w:r>
      <w:r>
        <w:t xml:space="preserve">approved on the old program (#247334). Approvals are per-program, so 250377 has ZERO publishers today and nobody can promote the tracked link.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publishers migrate,</w:t>
      </w:r>
      <w:r>
        <w:t xml:space="preserve"> </w:t>
      </w:r>
      <w:r>
        <w:rPr>
          <w:b/>
          <w:bCs/>
        </w:rPr>
        <w:t xml:space="preserve">disable old creative #6673701</w:t>
      </w:r>
      <w:r>
        <w:t xml:space="preserve"> </w:t>
      </w:r>
      <w:r>
        <w:t xml:space="preserve">(Tired Test on the old program, no S2S tracking, so anyone promoting it earns nothing and sours the relationship).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UNVERIFIED merge fields:</w:t>
      </w:r>
      <w:r>
        <w:t xml:space="preserve"> </w:t>
      </w:r>
      <w:r>
        <w:rPr>
          <w:rStyle w:val="VerbatimChar"/>
        </w:rPr>
        <w:t xml:space="preserve">{{order.number}}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{{order.subtotal_price}}</w:t>
      </w:r>
      <w:r>
        <w:t xml:space="preserve"> </w:t>
      </w:r>
      <w:r>
        <w:t xml:space="preserve">were chosen while the</w:t>
      </w:r>
      <w:r>
        <w:t xml:space="preserve"> </w:t>
      </w:r>
      <w:r>
        <w:rPr>
          <w:i/>
          <w:iCs/>
        </w:rPr>
        <w:t xml:space="preserve">Shopify order placed</w:t>
      </w:r>
      <w:r>
        <w:t xml:space="preserve"> </w:t>
      </w:r>
      <w:r>
        <w:t xml:space="preserve">trigger was active; the trigger is now</w:t>
      </w:r>
      <w:r>
        <w:t xml:space="preserve"> </w:t>
      </w:r>
      <w:r>
        <w:rPr>
          <w:i/>
          <w:iCs/>
        </w:rPr>
        <w:t xml:space="preserve">Order fulfilled</w:t>
      </w:r>
      <w:r>
        <w:t xml:space="preserve"> </w:t>
      </w:r>
      <w:r>
        <w:t xml:space="preserve">(the only trigger exposing a product filter). Could not test without a real Shopify order (payment fees + 7-10 day refund hold made a test order too costly). On the FIRST real affiliate sale, check</w:t>
      </w:r>
      <w:r>
        <w:t xml:space="preserve"> </w:t>
      </w:r>
      <w:r>
        <w:rPr>
          <w:b/>
          <w:bCs/>
        </w:rPr>
        <w:t xml:space="preserve">WF-30 &gt; Execution Logs</w:t>
      </w:r>
      <w:r>
        <w:t xml:space="preserve"> </w:t>
      </w:r>
      <w:r>
        <w:t xml:space="preserve">to confirm both resolved; if blank, fix and have FlexOffers credit that conversion manually.</w:t>
      </w:r>
    </w:p>
    <w:p>
      <w:pPr>
        <w:pStyle w:val="Compact"/>
        <w:numPr>
          <w:ilvl w:val="1"/>
          <w:numId w:val="1025"/>
        </w:numPr>
      </w:pPr>
      <w:r>
        <w:t xml:space="preserve">Delete test contact</w:t>
      </w:r>
      <w:r>
        <w:t xml:space="preserve"> </w:t>
      </w:r>
      <w:r>
        <w:rPr>
          <w:b/>
          <w:bCs/>
        </w:rPr>
        <w:t xml:space="preserve">FlexOffers Test2</w:t>
      </w:r>
      <w:r>
        <w:t xml:space="preserve"> </w:t>
      </w:r>
      <w:r>
        <w:t xml:space="preserve">(</w:t>
      </w:r>
      <w:r>
        <w:rPr>
          <w:rStyle w:val="VerbatimChar"/>
        </w:rPr>
        <w:t xml:space="preserve">scott+fotest2@enyrgy.com</w:t>
      </w:r>
      <w:r>
        <w:t xml:space="preserve">) after the postback test. Kept deliberately because it holds a test refid.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GHL agency email sender name =</w:t>
      </w:r>
      <w:r>
        <w:rPr>
          <w:b/>
          <w:bCs/>
        </w:rPr>
        <w:t xml:space="preserve"> </w:t>
      </w:r>
      <w:r>
        <w:rPr>
          <w:b/>
          <w:bCs/>
        </w:rPr>
        <w:t xml:space="preserve">“Ledgerix Pro LLC”</w:t>
      </w:r>
      <w:r>
        <w:rPr>
          <w:b/>
          <w:bCs/>
        </w:rPr>
        <w:t xml:space="preserve"> </w:t>
      </w:r>
      <w:r>
        <w:rPr>
          <w:b/>
          <w:bCs/>
        </w:rPr>
        <w:t xml:space="preserve">(HIGH, employee-facing) -&gt; HighLevel support ticket</w:t>
      </w:r>
      <w:r>
        <w:t xml:space="preserve"> </w:t>
      </w:r>
      <w:r>
        <w:t xml:space="preserve">— DONE July 28: Enyrgy agency mailing address corrected to Phoenix; Business Category fixed Medical -&gt; Health &amp; Wellness (no A2P impact, separate TCR filing). FULLY DIAGNOSED: Scott runs TWO SEPARATE GHL agencies under one login, each with its own Relationship Number and each internally correct: Enyrgy Inc (0-167-470, all fields Enyrgy) and Ledgerix Pro LLC (0-783-665, all fields Ledgerix). The Enyrgy agency’s system emails render bodies correctly ({{agency.name}} = Enyrgy Inc) but stamp the SENDER display name as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(the other agency). Not editable in either agency’s settings -&gt; it is a HighLevel PLATFORM cross-agency sender-identity issue for a multi-agency admin. FIX: HighLevel support ticket SENT July 28, 2026 (asks them to make Enyrgy agency 0-167-470 use</w:t>
      </w:r>
      <w:r>
        <w:t xml:space="preserve"> </w:t>
      </w:r>
      <w:r>
        <w:t xml:space="preserve">“Enyrgy Inc”</w:t>
      </w:r>
      <w:r>
        <w:t xml:space="preserve"> </w:t>
      </w:r>
      <w:r>
        <w:t xml:space="preserve">as the system-email sender). AWAITING HighLevel resolution. Optional self-check meanwhile: My Profile for a default/primary-agency setting.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Refresh the EA to v1.1 (July 28)</w:t>
      </w:r>
      <w:r>
        <w:t xml:space="preserve"> </w:t>
      </w:r>
      <w:r>
        <w:t xml:space="preserve">— bumped to Version 1.1 with an authoritative</w:t>
      </w:r>
      <w:r>
        <w:t xml:space="preserve"> </w:t>
      </w:r>
      <w:r>
        <w:t xml:space="preserve">“v1.1 Current-State Update”</w:t>
      </w:r>
      <w:r>
        <w:t xml:space="preserve"> </w:t>
      </w:r>
      <w:r>
        <w:t xml:space="preserve">section that overrides the stale June-29 body (Shopify integration + WF-27/28/29, GBP live + WF-07 wiring, full Paperclip org + tuned heartbeats, toll-free SMS/CNAM/no-10DLC, content assets, addresses/business-category fixes, the reliability findings incl. the debunked phantom-completion, and the open agency-email item). A future pass can fold these line-by-line into each layer.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2"/>
  </w:num>
  <w:num w:numId="1029">
    <w:abstractNumId w:val="992"/>
  </w:num>
  <w:num w:numId="1030">
    <w:abstractNumId w:val="993"/>
  </w:num>
  <w:num w:numId="1031">
    <w:abstractNumId w:val="993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3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3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2026-07-30T17:36:34Z</dcterms:created>
  <dcterms:modified xsi:type="dcterms:W3CDTF">2026-07-30T17:36:34Z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