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wf-16-synthesis-gap-emails"/>
    <w:p>
      <w:pPr>
        <w:pStyle w:val="Heading1"/>
      </w:pPr>
      <w:r>
        <w:t xml:space="preserve">WF-16 Synthesis Gap Emails</w:t>
      </w:r>
    </w:p>
    <w:p>
      <w:pPr>
        <w:pStyle w:val="FirstParagraph"/>
      </w:pPr>
      <w:r>
        <w:rPr>
          <w:b/>
          <w:bCs/>
        </w:rPr>
        <w:t xml:space="preserve">Trigger:</w:t>
      </w:r>
      <w:r>
        <w:t xml:space="preserve"> </w:t>
      </w:r>
      <w:r>
        <w:t xml:space="preserve">enrolled by WF-15 Synthesis Gap Webhook</w:t>
      </w:r>
      <w:r>
        <w:t xml:space="preserve"> </w:t>
      </w:r>
      <w:r>
        <w:rPr>
          <w:b/>
          <w:bCs/>
        </w:rPr>
        <w:t xml:space="preserve">Touches:</w:t>
      </w:r>
      <w:r>
        <w:t xml:space="preserve"> </w:t>
      </w:r>
      <w:r>
        <w:t xml:space="preserve">3, each with an A and a B variant</w:t>
      </w:r>
      <w:r>
        <w:t xml:space="preserve"> </w:t>
      </w:r>
      <w:r>
        <w:rPr>
          <w:b/>
          <w:bCs/>
        </w:rPr>
        <w:t xml:space="preserve">Ends with:</w:t>
      </w:r>
      <w:r>
        <w:t xml:space="preserve"> </w:t>
      </w:r>
      <w:r>
        <w:rPr>
          <w:rStyle w:val="VerbatimChar"/>
        </w:rPr>
        <w:t xml:space="preserve">nurture_longterm</w:t>
      </w:r>
      <w:r>
        <w:t xml:space="preserve">, which hands the contact to WF-17</w:t>
      </w:r>
      <w:r>
        <w:t xml:space="preserve"> </w:t>
      </w:r>
      <w:r>
        <w:rPr>
          <w:b/>
          <w:bCs/>
        </w:rPr>
        <w:t xml:space="preserve">Audience:</w:t>
      </w:r>
      <w:r>
        <w:t xml:space="preserve"> </w:t>
      </w:r>
      <w:r>
        <w:t xml:space="preserve">Bullseye ICP,</w:t>
      </w:r>
      <w:r>
        <w:t xml:space="preserve"> </w:t>
      </w:r>
      <w:r>
        <w:rPr>
          <w:rStyle w:val="VerbatimChar"/>
        </w:rPr>
        <w:t xml:space="preserve">icp_stack_optimizer</w:t>
      </w:r>
      <w:r>
        <w:t xml:space="preserve">. Readers who already supplement and want the mechanism.</w:t>
      </w:r>
      <w:r>
        <w:t xml:space="preserve"> </w:t>
      </w:r>
      <w:r>
        <w:rPr>
          <w:b/>
          <w:bCs/>
        </w:rPr>
        <w:t xml:space="preserve">Captured:</w:t>
      </w:r>
      <w:r>
        <w:t xml:space="preserve"> </w:t>
      </w:r>
      <w:r>
        <w:t xml:space="preserve">2026-08-02, complete, both variants, with three corrections applied the same day.</w:t>
      </w:r>
    </w:p>
    <w:p>
      <w:pPr>
        <w:pStyle w:val="BodyText"/>
      </w:pPr>
      <w:r>
        <w:rPr>
          <w:b/>
          <w:bCs/>
        </w:rPr>
        <w:t xml:space="preserve">A/B note.</w:t>
      </w:r>
      <w:r>
        <w:t xml:space="preserve"> </w:t>
      </w:r>
      <w:r>
        <w:t xml:space="preserve">Both variants are live and both are recorded here. Restoring from a capture of only one would lose half the workflow.</w:t>
      </w:r>
    </w:p>
    <w:p>
      <w:r>
        <w:pict>
          <v:rect style="width:0;height:1.5pt" o:hralign="center" o:hrstd="t" o:hr="t"/>
        </w:pict>
      </w:r>
    </w:p>
    <w:bookmarkStart w:id="9" w:name="touch-1a-day-1-email"/>
    <w:p>
      <w:pPr>
        <w:pStyle w:val="Heading2"/>
      </w:pPr>
      <w:r>
        <w:t xml:space="preserve">Touch 1A | Day 1 | Email</w:t>
      </w:r>
    </w:p>
    <w:p>
      <w:pPr>
        <w:pStyle w:val="FirstParagraph"/>
      </w:pPr>
      <w:r>
        <w:rPr>
          <w:b/>
          <w:bCs/>
        </w:rPr>
        <w:t xml:space="preserve">Subject:</w:t>
      </w:r>
      <w:r>
        <w:t xml:space="preserve"> </w:t>
      </w:r>
      <w:r>
        <w:t xml:space="preserve">Your Synthesis Gap guide is here</w:t>
      </w:r>
    </w:p>
    <w:p>
      <w:pPr>
        <w:pStyle w:val="BodyText"/>
      </w:pPr>
      <w:r>
        <w:rPr>
          <w:b/>
          <w:bCs/>
        </w:rPr>
        <w:t xml:space="preserve">Body:</w:t>
      </w:r>
    </w:p>
    <w:p>
      <w:pPr>
        <w:pStyle w:val="SourceCode"/>
      </w:pPr>
      <w:r>
        <w:rPr>
          <w:rStyle w:val="VerbatimChar"/>
        </w:rPr>
        <w:t xml:space="preserve">Here's the guide you asked for.</w:t>
      </w:r>
      <w:r>
        <w:br/>
      </w:r>
      <w:r>
        <w:br/>
      </w:r>
      <w:r>
        <w:rPr>
          <w:rStyle w:val="VerbatimChar"/>
        </w:rPr>
        <w:t xml:space="preserve">One thing worth noting before you read it. The research on UVB synthesis versus oral supplementation has been accumulating for decades. Most of it never surfaces in consumer wellness content, because the interesting findings are about a pathway you cannot put in a bottle.</w:t>
      </w:r>
      <w:r>
        <w:br/>
      </w:r>
      <w:r>
        <w:br/>
      </w:r>
      <w:r>
        <w:rPr>
          <w:rStyle w:val="VerbatimChar"/>
        </w:rPr>
        <w:t xml:space="preserve">The guide explains the mechanism plainly. No selling. Just the biology.</w:t>
      </w:r>
      <w:r>
        <w:br/>
      </w:r>
      <w:r>
        <w:br/>
      </w:r>
      <w:r>
        <w:rPr>
          <w:rStyle w:val="VerbatimChar"/>
        </w:rPr>
        <w:t xml:space="preserve">Download The Synthesis Gap -&gt;</w:t>
      </w:r>
      <w:r>
        <w:br/>
      </w:r>
      <w:r>
        <w:br/>
      </w:r>
      <w:r>
        <w:rPr>
          <w:rStyle w:val="VerbatimChar"/>
        </w:rPr>
        <w:t xml:space="preserve">If you have questions after reading, reply to this email. I read them.</w:t>
      </w:r>
      <w:r>
        <w:br/>
      </w:r>
      <w:r>
        <w:br/>
      </w:r>
      <w:r>
        <w:rPr>
          <w:rStyle w:val="VerbatimChar"/>
        </w:rPr>
        <w:t xml:space="preserve">{{custom_values.standard_signature}}</w:t>
      </w:r>
    </w:p>
    <w:p>
      <w:r>
        <w:pict>
          <v:rect style="width:0;height:1.5pt" o:hralign="center" o:hrstd="t" o:hr="t"/>
        </w:pict>
      </w:r>
    </w:p>
    <w:bookmarkEnd w:id="9"/>
    <w:bookmarkStart w:id="10" w:name="touch-1b-day-1-email"/>
    <w:p>
      <w:pPr>
        <w:pStyle w:val="Heading2"/>
      </w:pPr>
      <w:r>
        <w:t xml:space="preserve">Touch 1B | Day 1 | Email</w:t>
      </w:r>
    </w:p>
    <w:p>
      <w:pPr>
        <w:pStyle w:val="FirstParagraph"/>
      </w:pPr>
      <w:r>
        <w:rPr>
          <w:b/>
          <w:bCs/>
        </w:rPr>
        <w:t xml:space="preserve">Subject:</w:t>
      </w:r>
      <w:r>
        <w:t xml:space="preserve"> </w:t>
      </w:r>
      <w:r>
        <w:t xml:space="preserve">Why your D3 reads</w:t>
      </w:r>
      <w:r>
        <w:t xml:space="preserve"> </w:t>
      </w:r>
      <w:r>
        <w:t xml:space="preserve">“insufficient”</w:t>
      </w:r>
      <w:r>
        <w:t xml:space="preserve"> </w:t>
      </w:r>
      <w:r>
        <w:t xml:space="preserve">anyway</w:t>
      </w:r>
    </w:p>
    <w:p>
      <w:pPr>
        <w:pStyle w:val="BodyText"/>
      </w:pPr>
      <w:r>
        <w:rPr>
          <w:b/>
          <w:bCs/>
        </w:rPr>
        <w:t xml:space="preserve">Body:</w:t>
      </w:r>
    </w:p>
    <w:p>
      <w:pPr>
        <w:pStyle w:val="SourceCode"/>
      </w:pPr>
      <w:r>
        <w:rPr>
          <w:rStyle w:val="VerbatimChar"/>
        </w:rPr>
        <w:t xml:space="preserve">Here's your Synthesis Gap guide.</w:t>
      </w:r>
      <w:r>
        <w:br/>
      </w:r>
      <w:r>
        <w:br/>
      </w:r>
      <w:r>
        <w:rPr>
          <w:rStyle w:val="VerbatimChar"/>
        </w:rPr>
        <w:t xml:space="preserve">Before you open it, the one idea it turns on. Vitamin D is not a substance your body wants so much as the first product of a process your body runs. Sunlight on skin does not just make D3. One exposure produces five outputs: vitamin D3, vitamin D sulfate, photoproducts, nitric oxide, and serotonin. Five outputs from one trigger.</w:t>
      </w:r>
      <w:r>
        <w:br/>
      </w:r>
      <w:r>
        <w:br/>
      </w:r>
      <w:r>
        <w:rPr>
          <w:rStyle w:val="VerbatimChar"/>
        </w:rPr>
        <w:t xml:space="preserve">A capsule gives you the first one, and only if your body responds to it. That is the whole story of why you can supplement daily and still test low. You are topping up one of those five and skipping the rest.</w:t>
      </w:r>
      <w:r>
        <w:br/>
      </w:r>
      <w:r>
        <w:br/>
      </w:r>
      <w:r>
        <w:rPr>
          <w:rStyle w:val="VerbatimChar"/>
        </w:rPr>
        <w:t xml:space="preserve">The guide walks them one at a time. No selling in it. Just the mechanism.</w:t>
      </w:r>
      <w:r>
        <w:br/>
      </w:r>
      <w:r>
        <w:br/>
      </w:r>
      <w:r>
        <w:rPr>
          <w:rStyle w:val="VerbatimChar"/>
        </w:rPr>
        <w:t xml:space="preserve">Download The Synthesis Gap -&gt;</w:t>
      </w:r>
      <w:r>
        <w:br/>
      </w:r>
      <w:r>
        <w:br/>
      </w:r>
      <w:r>
        <w:rPr>
          <w:rStyle w:val="VerbatimChar"/>
        </w:rPr>
        <w:t xml:space="preserve">Reply if you have questions. They come straight to me.</w:t>
      </w:r>
      <w:r>
        <w:br/>
      </w:r>
      <w:r>
        <w:br/>
      </w:r>
      <w:r>
        <w:rPr>
          <w:rStyle w:val="VerbatimChar"/>
        </w:rPr>
        <w:t xml:space="preserve">{{custom_values.standard_signature}}</w:t>
      </w:r>
    </w:p>
    <w:p>
      <w:pPr>
        <w:pStyle w:val="FirstParagraph"/>
      </w:pPr>
      <w:r>
        <w:rPr>
          <w:b/>
          <w:bCs/>
        </w:rPr>
        <w:t xml:space="preserve">Checked:</w:t>
      </w:r>
      <w:r>
        <w:t xml:space="preserve"> </w:t>
      </w:r>
      <w:r>
        <w:t xml:space="preserve">the five-outputs framing follows the KB rule exactly. It describes what</w:t>
      </w:r>
      <w:r>
        <w:t xml:space="preserve"> </w:t>
      </w:r>
      <w:r>
        <w:rPr>
          <w:b/>
          <w:bCs/>
        </w:rPr>
        <w:t xml:space="preserve">sunlight</w:t>
      </w:r>
      <w:r>
        <w:t xml:space="preserve"> </w:t>
      </w:r>
      <w:r>
        <w:t xml:space="preserve">produces as five outputs, and reserves the three Triple-Pathway pathways for what Enyrgy delivers. That distinction is a KB rule of thumb and this variant gets it right.</w:t>
      </w:r>
    </w:p>
    <w:p>
      <w:r>
        <w:pict>
          <v:rect style="width:0;height:1.5pt" o:hralign="center" o:hrstd="t" o:hr="t"/>
        </w:pict>
      </w:r>
    </w:p>
    <w:bookmarkEnd w:id="10"/>
    <w:bookmarkStart w:id="11" w:name="touch-2a-day-4-email"/>
    <w:p>
      <w:pPr>
        <w:pStyle w:val="Heading2"/>
      </w:pPr>
      <w:r>
        <w:t xml:space="preserve">Touch 2A | Day 4 | Email</w:t>
      </w:r>
    </w:p>
    <w:p>
      <w:pPr>
        <w:pStyle w:val="FirstParagraph"/>
      </w:pPr>
      <w:r>
        <w:rPr>
          <w:b/>
          <w:bCs/>
        </w:rPr>
        <w:t xml:space="preserve">Subject:</w:t>
      </w:r>
      <w:r>
        <w:t xml:space="preserve"> </w:t>
      </w:r>
      <w:r>
        <w:t xml:space="preserve">The pathway your supplement doesn’t reach</w:t>
      </w:r>
    </w:p>
    <w:p>
      <w:pPr>
        <w:pStyle w:val="BodyText"/>
      </w:pPr>
      <w:r>
        <w:rPr>
          <w:b/>
          <w:bCs/>
        </w:rPr>
        <w:t xml:space="preserve">Body:</w:t>
      </w:r>
    </w:p>
    <w:p>
      <w:pPr>
        <w:pStyle w:val="SourceCode"/>
      </w:pPr>
      <w:r>
        <w:rPr>
          <w:rStyle w:val="VerbatimChar"/>
        </w:rPr>
        <w:t xml:space="preserve">The guide covers what sunlight makes besides vitamin D. This is the one people find hardest to believe, so it is worth taking on its own.</w:t>
      </w:r>
      <w:r>
        <w:br/>
      </w:r>
      <w:r>
        <w:br/>
      </w:r>
      <w:r>
        <w:rPr>
          <w:rStyle w:val="VerbatimChar"/>
        </w:rPr>
        <w:t xml:space="preserve">If you take L-arginine or citrulline, you already know nitric oxide matters. Those feed the enzyme route: you supply the raw material, and an enzyme in your blood vessel walls builds nitric oxide from it. UVA does something different.</w:t>
      </w:r>
      <w:r>
        <w:br/>
      </w:r>
      <w:r>
        <w:br/>
      </w:r>
      <w:r>
        <w:rPr>
          <w:rStyle w:val="VerbatimChar"/>
        </w:rPr>
        <w:t xml:space="preserve">When UVA light reaches your skin, it cleaves nitric oxide directly out of preformed stores held in the skin, no enzyme and no substrate required, and sends it straight into circulation. That supports circulation, blood pressure regulation, and vascular function, and it happens in the same two-to-four-minute session as vitamin D synthesis.</w:t>
      </w:r>
      <w:r>
        <w:br/>
      </w:r>
      <w:r>
        <w:br/>
      </w:r>
      <w:r>
        <w:rPr>
          <w:rStyle w:val="VerbatimChar"/>
        </w:rPr>
        <w:t xml:space="preserve">It is a second, separate tap on the same system, and it is the one a capsule cannot open. No oral supplement does this, because it is light acting on your skin, not a molecule passing through your gut.</w:t>
      </w:r>
      <w:r>
        <w:br/>
      </w:r>
      <w:r>
        <w:br/>
      </w:r>
      <w:r>
        <w:rPr>
          <w:rStyle w:val="VerbatimChar"/>
        </w:rPr>
        <w:t xml:space="preserve">That is one pathway. The same session runs two more: vitamin D synthesis and serotonin production. Three pathways from one trigger, what Enyrgy calls the Triple-Pathway Advantage(TM). Your body already knows how to run all three. It just needs the light.</w:t>
      </w:r>
      <w:r>
        <w:br/>
      </w:r>
      <w:r>
        <w:br/>
      </w:r>
      <w:r>
        <w:rPr>
          <w:rStyle w:val="VerbatimChar"/>
        </w:rPr>
        <w:t xml:space="preserve">See how the Enyrgy platform triggers all three pathways -&gt;</w:t>
      </w:r>
      <w:r>
        <w:br/>
      </w:r>
      <w:r>
        <w:br/>
      </w:r>
      <w:r>
        <w:rPr>
          <w:rStyle w:val="VerbatimChar"/>
        </w:rPr>
        <w:t xml:space="preserve">{{custom_values.standard_signature}}</w:t>
      </w:r>
    </w:p>
    <w:p>
      <w:pPr>
        <w:pStyle w:val="FirstParagraph"/>
      </w:pPr>
      <w:r>
        <w:rPr>
          <w:b/>
          <w:bCs/>
        </w:rPr>
        <w:t xml:space="preserve">CORRECTED Aug 2.</w:t>
      </w:r>
      <w:r>
        <w:t xml:space="preserve"> </w:t>
      </w:r>
      <w:r>
        <w:t xml:space="preserve">The opening was replaced. See the change log.</w:t>
      </w:r>
    </w:p>
    <w:p>
      <w:pPr>
        <w:pStyle w:val="BodyText"/>
      </w:pPr>
      <w:r>
        <w:rPr>
          <w:b/>
          <w:bCs/>
        </w:rPr>
        <w:t xml:space="preserve">Checked, and this is the subtle one.</w:t>
      </w:r>
      <w:r>
        <w:t xml:space="preserve"> </w:t>
      </w:r>
      <w:r>
        <w:t xml:space="preserve">The nitric oxide framing is compliant. The KB forbids</w:t>
      </w:r>
      <w:r>
        <w:t xml:space="preserve"> </w:t>
      </w:r>
      <w:r>
        <w:t xml:space="preserve">“no supplement produces nitric oxide”</w:t>
      </w:r>
      <w:r>
        <w:t xml:space="preserve">, and this does not say that. It explicitly grants that arginine and citrulline feed the enzymatic route, then confines the claim to photorelease, which no oral supplement performs. The distinction is exactly right.</w:t>
      </w:r>
    </w:p>
    <w:p>
      <w:r>
        <w:pict>
          <v:rect style="width:0;height:1.5pt" o:hralign="center" o:hrstd="t" o:hr="t"/>
        </w:pict>
      </w:r>
    </w:p>
    <w:bookmarkEnd w:id="11"/>
    <w:bookmarkStart w:id="12" w:name="touch-2b-day-4-email"/>
    <w:p>
      <w:pPr>
        <w:pStyle w:val="Heading2"/>
      </w:pPr>
      <w:r>
        <w:t xml:space="preserve">Touch 2B | Day 4 | Email</w:t>
      </w:r>
    </w:p>
    <w:p>
      <w:pPr>
        <w:pStyle w:val="FirstParagraph"/>
      </w:pPr>
      <w:r>
        <w:rPr>
          <w:b/>
          <w:bCs/>
        </w:rPr>
        <w:t xml:space="preserve">Subject:</w:t>
      </w:r>
      <w:r>
        <w:t xml:space="preserve"> </w:t>
      </w:r>
      <w:r>
        <w:t xml:space="preserve">One trigger, three outputs</w:t>
      </w:r>
    </w:p>
    <w:p>
      <w:pPr>
        <w:pStyle w:val="BodyText"/>
      </w:pPr>
      <w:r>
        <w:rPr>
          <w:b/>
          <w:bCs/>
        </w:rPr>
        <w:t xml:space="preserve">Body:</w:t>
      </w:r>
    </w:p>
    <w:p>
      <w:pPr>
        <w:pStyle w:val="SourceCode"/>
      </w:pPr>
      <w:r>
        <w:rPr>
          <w:rStyle w:val="VerbatimChar"/>
        </w:rPr>
        <w:t xml:space="preserve">That idea from the guide, made concrete. Here is what a capsule cannot reach.</w:t>
      </w:r>
      <w:r>
        <w:br/>
      </w:r>
      <w:r>
        <w:br/>
      </w:r>
      <w:r>
        <w:rPr>
          <w:rStyle w:val="VerbatimChar"/>
        </w:rPr>
        <w:t xml:space="preserve">Start with one you can feel the logic of. If you take L-arginine or citrulline, you are feeding the enzyme route: you supply the raw material, and an enzyme in your blood vessel walls builds nitric oxide from it. That works, and it is real.</w:t>
      </w:r>
      <w:r>
        <w:br/>
      </w:r>
      <w:r>
        <w:br/>
      </w:r>
      <w:r>
        <w:rPr>
          <w:rStyle w:val="VerbatimChar"/>
        </w:rPr>
        <w:t xml:space="preserve">UVA opens a different tap. Light cleaves nitric oxide directly out of preformed stores in your skin, no enzyme and no substrate, and sends it into your bloodstream. There is no oral version of this, because it is light acting on your skin, not a molecule passing through your gut. It is additive to anything you already take, not a replacement for it.</w:t>
      </w:r>
      <w:r>
        <w:br/>
      </w:r>
      <w:r>
        <w:br/>
      </w:r>
      <w:r>
        <w:rPr>
          <w:rStyle w:val="VerbatimChar"/>
        </w:rPr>
        <w:t xml:space="preserve">Now hold that thought, because it is not the exception. It is the pattern. The same session that releases that nitric oxide also runs vitamin D synthesis and drives serotonin production. One trigger, the right light on skin, runs all three at once. Enyrgy calls it the Triple-Pathway Advantage(TM).</w:t>
      </w:r>
      <w:r>
        <w:br/>
      </w:r>
      <w:r>
        <w:br/>
      </w:r>
      <w:r>
        <w:rPr>
          <w:rStyle w:val="VerbatimChar"/>
        </w:rPr>
        <w:t xml:space="preserve">This is the part worth sitting with. You were not designed to get vitamin D from a pill. You were designed to run three pathways from light, and they do jobs your supplement was never built to touch. The gap between those two things is the entire reason this exists.</w:t>
      </w:r>
      <w:r>
        <w:br/>
      </w:r>
      <w:r>
        <w:br/>
      </w:r>
      <w:r>
        <w:rPr>
          <w:rStyle w:val="VerbatimChar"/>
        </w:rPr>
        <w:t xml:space="preserve">See how the platform runs the full cascade -&gt;</w:t>
      </w:r>
      <w:r>
        <w:br/>
      </w:r>
      <w:r>
        <w:br/>
      </w:r>
      <w:r>
        <w:rPr>
          <w:rStyle w:val="VerbatimChar"/>
        </w:rPr>
        <w:t xml:space="preserve">{{custom_values.standard_signature}}</w:t>
      </w:r>
    </w:p>
    <w:p>
      <w:pPr>
        <w:pStyle w:val="FirstParagraph"/>
      </w:pPr>
      <w:r>
        <w:rPr>
          <w:b/>
          <w:bCs/>
        </w:rPr>
        <w:t xml:space="preserve">CORRECTED Aug 2.</w:t>
      </w:r>
      <w:r>
        <w:t xml:space="preserve"> </w:t>
      </w:r>
      <w:r>
        <w:t xml:space="preserve">“Yesterday’s idea”</w:t>
      </w:r>
      <w:r>
        <w:t xml:space="preserve"> </w:t>
      </w:r>
      <w:r>
        <w:t xml:space="preserve">replaced. See the change log.</w:t>
      </w:r>
    </w:p>
    <w:p>
      <w:pPr>
        <w:pStyle w:val="BodyText"/>
      </w:pPr>
      <w:r>
        <w:rPr>
          <w:b/>
          <w:bCs/>
        </w:rPr>
        <w:t xml:space="preserve">Note:</w:t>
      </w:r>
      <w:r>
        <w:t xml:space="preserve"> </w:t>
      </w:r>
      <w:r>
        <w:t xml:space="preserve">“It is additive to anything you already take, not a replacement for it”</w:t>
      </w:r>
      <w:r>
        <w:t xml:space="preserve"> </w:t>
      </w:r>
      <w:r>
        <w:t xml:space="preserve">is the strongest single line in the workflow. It removes the objection an existing supplement user actually has, which is that switching means abandoning what they already do.</w:t>
      </w:r>
    </w:p>
    <w:p>
      <w:r>
        <w:pict>
          <v:rect style="width:0;height:1.5pt" o:hralign="center" o:hrstd="t" o:hr="t"/>
        </w:pict>
      </w:r>
    </w:p>
    <w:bookmarkEnd w:id="12"/>
    <w:bookmarkStart w:id="13" w:name="touch-3a-day-7-email"/>
    <w:p>
      <w:pPr>
        <w:pStyle w:val="Heading2"/>
      </w:pPr>
      <w:r>
        <w:t xml:space="preserve">Touch 3A | Day 7 | Email</w:t>
      </w:r>
    </w:p>
    <w:p>
      <w:pPr>
        <w:pStyle w:val="FirstParagraph"/>
      </w:pPr>
      <w:r>
        <w:rPr>
          <w:b/>
          <w:bCs/>
        </w:rPr>
        <w:t xml:space="preserve">Subject:</w:t>
      </w:r>
      <w:r>
        <w:t xml:space="preserve"> </w:t>
      </w:r>
      <w:r>
        <w:t xml:space="preserve">39.96 to 84.20, what 12 weeks showed</w:t>
      </w:r>
    </w:p>
    <w:p>
      <w:pPr>
        <w:pStyle w:val="BodyText"/>
      </w:pPr>
      <w:r>
        <w:rPr>
          <w:b/>
          <w:bCs/>
        </w:rPr>
        <w:t xml:space="preserve">Body:</w:t>
      </w:r>
    </w:p>
    <w:p>
      <w:pPr>
        <w:pStyle w:val="SourceCode"/>
      </w:pPr>
      <w:r>
        <w:rPr>
          <w:rStyle w:val="VerbatimChar"/>
        </w:rPr>
        <w:t xml:space="preserve">Small study, stated plainly. In a 12-week observational cohort, five participants used the Enyrgy Vitamin D Primal Light Platform four to six times a week.</w:t>
      </w:r>
      <w:r>
        <w:br/>
      </w:r>
      <w:r>
        <w:br/>
      </w:r>
      <w:r>
        <w:rPr>
          <w:rStyle w:val="VerbatimChar"/>
        </w:rPr>
        <w:t xml:space="preserve">Average starting level: 39.96 ng/mL, insufficient.</w:t>
      </w:r>
      <w:r>
        <w:br/>
      </w:r>
      <w:r>
        <w:br/>
      </w:r>
      <w:r>
        <w:rPr>
          <w:rStyle w:val="VerbatimChar"/>
        </w:rPr>
        <w:t xml:space="preserve">Average ending level: 84.20 ng/mL, optimal.</w:t>
      </w:r>
      <w:r>
        <w:br/>
      </w:r>
      <w:r>
        <w:br/>
      </w:r>
      <w:r>
        <w:rPr>
          <w:rStyle w:val="VerbatimChar"/>
        </w:rPr>
        <w:t xml:space="preserve">Zero adverse events.</w:t>
      </w:r>
      <w:r>
        <w:br/>
      </w:r>
      <w:r>
        <w:br/>
      </w:r>
      <w:r>
        <w:rPr>
          <w:rStyle w:val="VerbatimChar"/>
        </w:rPr>
        <w:t xml:space="preserve">N=5, no control group, all healthy adults. We are not going to dress that up as a clinical trial, and larger peer-reviewed studies are in development. What it shows is narrow but real: the mechanism moves levels in actual people with actual labs.</w:t>
      </w:r>
      <w:r>
        <w:br/>
      </w:r>
      <w:r>
        <w:br/>
      </w:r>
      <w:r>
        <w:rPr>
          <w:rStyle w:val="VerbatimChar"/>
        </w:rPr>
        <w:t xml:space="preserve">The research explains why it works. The platform is how you access it. And you do not have to take our word for the result, because the honest test is your own labs. Track them before and after and decide on your own data. Separately, there is a 30-day money-back guarantee: if it is not for you, send it back inside 30 days without waiting on lab results.</w:t>
      </w:r>
      <w:r>
        <w:br/>
      </w:r>
      <w:r>
        <w:br/>
      </w:r>
      <w:r>
        <w:rPr>
          <w:rStyle w:val="VerbatimChar"/>
        </w:rPr>
        <w:t xml:space="preserve">Learn about the platform -&gt;  |  Get yours -&gt;</w:t>
      </w:r>
      <w:r>
        <w:br/>
      </w:r>
      <w:r>
        <w:br/>
      </w:r>
      <w:r>
        <w:rPr>
          <w:rStyle w:val="VerbatimChar"/>
        </w:rPr>
        <w:t xml:space="preserve">{{custom_values.standard_signature}}</w:t>
      </w:r>
    </w:p>
    <w:p>
      <w:pPr>
        <w:pStyle w:val="FirstParagraph"/>
      </w:pPr>
      <w:r>
        <w:rPr>
          <w:b/>
          <w:bCs/>
        </w:rPr>
        <w:t xml:space="preserve">CORRECTED Aug 2.</w:t>
      </w:r>
      <w:r>
        <w:t xml:space="preserve"> </w:t>
      </w:r>
      <w:r>
        <w:t xml:space="preserve">Guarantee decoupled from the lab timeline. See the change log.</w:t>
      </w:r>
    </w:p>
    <w:p>
      <w:r>
        <w:pict>
          <v:rect style="width:0;height:1.5pt" o:hralign="center" o:hrstd="t" o:hr="t"/>
        </w:pict>
      </w:r>
    </w:p>
    <w:bookmarkEnd w:id="13"/>
    <w:bookmarkStart w:id="14" w:name="touch-3b-day-7-email"/>
    <w:p>
      <w:pPr>
        <w:pStyle w:val="Heading2"/>
      </w:pPr>
      <w:r>
        <w:t xml:space="preserve">Touch 3B | Day 7 | Email</w:t>
      </w:r>
    </w:p>
    <w:p>
      <w:pPr>
        <w:pStyle w:val="FirstParagraph"/>
      </w:pPr>
      <w:r>
        <w:rPr>
          <w:b/>
          <w:bCs/>
        </w:rPr>
        <w:t xml:space="preserve">Subject:</w:t>
      </w:r>
      <w:r>
        <w:t xml:space="preserve"> </w:t>
      </w:r>
      <w:r>
        <w:t xml:space="preserve">Then test it against your own labs</w:t>
      </w:r>
    </w:p>
    <w:p>
      <w:pPr>
        <w:pStyle w:val="BodyText"/>
      </w:pPr>
      <w:r>
        <w:rPr>
          <w:b/>
          <w:bCs/>
        </w:rPr>
        <w:t xml:space="preserve">Body:</w:t>
      </w:r>
    </w:p>
    <w:p>
      <w:pPr>
        <w:pStyle w:val="SourceCode"/>
      </w:pPr>
      <w:r>
        <w:rPr>
          <w:rStyle w:val="VerbatimChar"/>
        </w:rPr>
        <w:t xml:space="preserve">By now the mechanism should make sense.</w:t>
      </w:r>
      <w:r>
        <w:br/>
      </w:r>
      <w:r>
        <w:br/>
      </w:r>
      <w:r>
        <w:rPr>
          <w:rStyle w:val="VerbatimChar"/>
        </w:rPr>
        <w:t xml:space="preserve">Here is what happens when you run it.</w:t>
      </w:r>
      <w:r>
        <w:br/>
      </w:r>
      <w:r>
        <w:br/>
      </w:r>
      <w:r>
        <w:rPr>
          <w:rStyle w:val="VerbatimChar"/>
        </w:rPr>
        <w:t xml:space="preserve">In a 12-week cohort, five people used the Enyrgy Vitamin D Primal Light Platform four to six times a week. They went from an average of 39.96 ng/mL, insufficient, to 84.20 ng/mL, optimal. Zero adverse events.</w:t>
      </w:r>
      <w:r>
        <w:br/>
      </w:r>
      <w:r>
        <w:br/>
      </w:r>
      <w:r>
        <w:rPr>
          <w:rStyle w:val="VerbatimChar"/>
        </w:rPr>
        <w:t xml:space="preserve">I will be the first to say what that study is not. Five people, no control group, all healthy adults. It is a signal, not a verdict, and larger trials are in development. I am telling you the limits because the point does not rest on the study. It rests on the mechanism, and the mechanism you can test on yourself.</w:t>
      </w:r>
      <w:r>
        <w:br/>
      </w:r>
      <w:r>
        <w:br/>
      </w:r>
      <w:r>
        <w:rPr>
          <w:rStyle w:val="VerbatimChar"/>
        </w:rPr>
        <w:t xml:space="preserve">That is the honest offer. Pull a baseline vitamin D lab. Run the protocol, dosed to your skin type through BioCalibrated Sunshine(TM), two to four minutes a session. Retest at eight to twelve weeks. You will have a before and after on your own body, not ours.</w:t>
      </w:r>
      <w:r>
        <w:br/>
      </w:r>
      <w:r>
        <w:br/>
      </w:r>
      <w:r>
        <w:rPr>
          <w:rStyle w:val="VerbatimChar"/>
        </w:rPr>
        <w:t xml:space="preserve">You do not have to wait for those results to decide, though. The unit comes with a 30-day money-back guarantee, so if it is not for you, send it back.</w:t>
      </w:r>
      <w:r>
        <w:br/>
      </w:r>
      <w:r>
        <w:br/>
      </w:r>
      <w:r>
        <w:rPr>
          <w:rStyle w:val="VerbatimChar"/>
        </w:rPr>
        <w:t xml:space="preserve">Learn about the platform -&gt;  |  Get yours -&gt;</w:t>
      </w:r>
      <w:r>
        <w:br/>
      </w:r>
      <w:r>
        <w:br/>
      </w:r>
      <w:r>
        <w:rPr>
          <w:rStyle w:val="VerbatimChar"/>
        </w:rPr>
        <w:t xml:space="preserve">{{custom_values.standard_signature}}</w:t>
      </w:r>
    </w:p>
    <w:p>
      <w:pPr>
        <w:pStyle w:val="FirstParagraph"/>
      </w:pPr>
      <w:r>
        <w:rPr>
          <w:b/>
          <w:bCs/>
        </w:rPr>
        <w:t xml:space="preserve">ALREADY CORRECT, do not change.</w:t>
      </w:r>
      <w:r>
        <w:t xml:space="preserve"> </w:t>
      </w:r>
      <w:r>
        <w:t xml:space="preserve">This variant carries the decoupled guarantee language verbatim from the Session 14 fix:</w:t>
      </w:r>
      <w:r>
        <w:t xml:space="preserve"> </w:t>
      </w:r>
      <w:r>
        <w:t xml:space="preserve">“You do not have to wait for those results to decide, though.”</w:t>
      </w:r>
      <w:r>
        <w:t xml:space="preserve"> </w:t>
      </w:r>
      <w:r>
        <w:t xml:space="preserve">It is the reference version.</w:t>
      </w:r>
    </w:p>
    <w:p>
      <w:r>
        <w:pict>
          <v:rect style="width:0;height:1.5pt" o:hralign="center" o:hrstd="t" o:hr="t"/>
        </w:pict>
      </w:r>
    </w:p>
    <w:bookmarkEnd w:id="14"/>
    <w:bookmarkEnd w:id="15"/>
    <w:bookmarkStart w:id="19" w:name="change-log-2026-08-02"/>
    <w:p>
      <w:pPr>
        <w:pStyle w:val="Heading1"/>
      </w:pPr>
      <w:r>
        <w:t xml:space="preserve">Change log, 2026-08-02</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3A</w:t>
            </w:r>
          </w:p>
        </w:tc>
        <w:tc>
          <w:tcPr/>
          <w:p>
            <w:pPr>
              <w:pStyle w:val="Compact"/>
            </w:pPr>
            <w:r>
              <w:t xml:space="preserve">Guarantee decoupled from the lab timeline, bringing A into line with B</w:t>
            </w:r>
          </w:p>
        </w:tc>
      </w:tr>
      <w:tr>
        <w:tc>
          <w:tcPr/>
          <w:p>
            <w:pPr>
              <w:pStyle w:val="Compact"/>
            </w:pPr>
            <w:r>
              <w:t xml:space="preserve">2</w:t>
            </w:r>
          </w:p>
        </w:tc>
        <w:tc>
          <w:tcPr/>
          <w:p>
            <w:pPr>
              <w:pStyle w:val="Compact"/>
            </w:pPr>
            <w:r>
              <w:t xml:space="preserve">2B</w:t>
            </w:r>
          </w:p>
        </w:tc>
        <w:tc>
          <w:tcPr/>
          <w:p>
            <w:pPr>
              <w:pStyle w:val="Compact"/>
            </w:pPr>
            <w:r>
              <w:t xml:space="preserve">“Yesterday’s idea”</w:t>
            </w:r>
            <w:r>
              <w:t xml:space="preserve"> </w:t>
            </w:r>
            <w:r>
              <w:t xml:space="preserve">replaced. Touch 1 is Day 1 and Touch 2 is Day 4, so it was three days wrong</w:t>
            </w:r>
          </w:p>
        </w:tc>
      </w:tr>
      <w:tr>
        <w:tc>
          <w:tcPr/>
          <w:p>
            <w:pPr>
              <w:pStyle w:val="Compact"/>
            </w:pPr>
            <w:r>
              <w:t xml:space="preserve">3</w:t>
            </w:r>
          </w:p>
        </w:tc>
        <w:tc>
          <w:tcPr/>
          <w:p>
            <w:pPr>
              <w:pStyle w:val="Compact"/>
            </w:pPr>
            <w:r>
              <w:t xml:space="preserve">2A</w:t>
            </w:r>
          </w:p>
        </w:tc>
        <w:tc>
          <w:tcPr/>
          <w:p>
            <w:pPr>
              <w:pStyle w:val="Compact"/>
            </w:pPr>
            <w:r>
              <w:t xml:space="preserve">Orphaned opening replaced. The email opened on vitamin D insufficiency then never returned to it</w:t>
            </w:r>
          </w:p>
        </w:tc>
      </w:tr>
    </w:tbl>
    <w:bookmarkStart w:id="16" w:name="Xc97a3a8924fa972577ed45e9a046d1336389fdb"/>
    <w:p>
      <w:pPr>
        <w:pStyle w:val="Heading2"/>
      </w:pPr>
      <w:r>
        <w:t xml:space="preserve">The A/B divergence, which is the finding worth keeping</w:t>
      </w:r>
    </w:p>
    <w:p>
      <w:pPr>
        <w:pStyle w:val="FirstParagraph"/>
      </w:pPr>
      <w:r>
        <w:rPr>
          <w:b/>
          <w:bCs/>
        </w:rPr>
        <w:t xml:space="preserve">Touch 3B carried the corrected guarantee language. Touch 3A did not.</w:t>
      </w:r>
    </w:p>
    <w:p>
      <w:pPr>
        <w:pStyle w:val="BodyText"/>
      </w:pPr>
      <w:r>
        <w:t xml:space="preserve">The Session 14 audit decoupled the 30-day window from the eight-to-twelve-week lab retest and recorded it as done everywhere. In this workflow it reached one variant of one touch and stopped.</w:t>
      </w:r>
    </w:p>
    <w:p>
      <w:pPr>
        <w:pStyle w:val="BodyText"/>
      </w:pPr>
      <w:r>
        <w:t xml:space="preserve">That is how it survived. Anyone spot-checking WF-16 would open a touch, find 3B’s correct version, and move on satisfied. The uncorrected copy was sitting in the sibling variant the whole time.</w:t>
      </w:r>
    </w:p>
    <w:p>
      <w:pPr>
        <w:pStyle w:val="BodyText"/>
      </w:pPr>
      <w:r>
        <w:rPr>
          <w:b/>
          <w:bCs/>
        </w:rPr>
        <w:t xml:space="preserve">This is the fourth instance of the same coupling</w:t>
      </w:r>
      <w:r>
        <w:t xml:space="preserve">, after WF-17 touches 4 and 7 and WF-13 touch 5. It has now been found in three consecutive workflows after being declared fixed everywhere.</w:t>
      </w:r>
    </w:p>
    <w:p>
      <w:pPr>
        <w:pStyle w:val="BodyText"/>
      </w:pPr>
      <w:r>
        <w:rPr>
          <w:b/>
          <w:bCs/>
        </w:rPr>
        <w:t xml:space="preserve">The operational lesson:</w:t>
      </w:r>
      <w:r>
        <w:t xml:space="preserve"> </w:t>
      </w:r>
      <w:r>
        <w:t xml:space="preserve">an A/B workflow needs both arms checked. A fix applied to one variant looks identical to a fix applied to the workflow.</w:t>
      </w:r>
    </w:p>
    <w:bookmarkEnd w:id="16"/>
    <w:bookmarkStart w:id="17" w:name="Xda2169639aad9e2fd45db2d51b73d51c19c44d3"/>
    <w:p>
      <w:pPr>
        <w:pStyle w:val="Heading2"/>
      </w:pPr>
      <w:r>
        <w:t xml:space="preserve">Both nitric oxide passages are compliant, and worth reading before writing any more</w:t>
      </w:r>
    </w:p>
    <w:p>
      <w:pPr>
        <w:pStyle w:val="FirstParagraph"/>
      </w:pPr>
      <w:r>
        <w:t xml:space="preserve">The KB forbids</w:t>
      </w:r>
      <w:r>
        <w:t xml:space="preserve"> </w:t>
      </w:r>
      <w:r>
        <w:t xml:space="preserve">“no supplement produces nitric oxide”</w:t>
      </w:r>
      <w:r>
        <w:t xml:space="preserve">. Both 2A and 2B avoid it correctly by granting that arginine and citrulline feed the enzymatic route, then confining the claim to photorelease, which no oral supplement performs. 2B goes further with</w:t>
      </w:r>
      <w:r>
        <w:t xml:space="preserve"> </w:t>
      </w:r>
      <w:r>
        <w:t xml:space="preserve">“It is additive to anything you already take, not a replacement for it.”</w:t>
      </w:r>
    </w:p>
    <w:p>
      <w:pPr>
        <w:pStyle w:val="BodyText"/>
      </w:pPr>
      <w:r>
        <w:t xml:space="preserve">That is the framing to copy the next time this pathway comes up anywhere.</w:t>
      </w:r>
    </w:p>
    <w:bookmarkEnd w:id="17"/>
    <w:bookmarkStart w:id="18" w:name="left-in-deliberately"/>
    <w:p>
      <w:pPr>
        <w:pStyle w:val="Heading2"/>
      </w:pPr>
      <w:r>
        <w:t xml:space="preserve">Left in deliberately</w:t>
      </w:r>
    </w:p>
    <w:p>
      <w:pPr>
        <w:pStyle w:val="FirstParagraph"/>
      </w:pPr>
      <w:r>
        <w:t xml:space="preserve">Both 2A and 2B contain</w:t>
      </w:r>
      <w:r>
        <w:t xml:space="preserve"> </w:t>
      </w:r>
      <w:r>
        <w:t xml:space="preserve">“it is light acting on your skin, not a molecule passing through your gut”</w:t>
      </w:r>
      <w:r>
        <w:t xml:space="preserve">, which is negative parallelism and on the voice spec’s Never list. Left because it is doing genuine explanatory work rather than decorating. If it ever needs removing,</w:t>
      </w:r>
      <w:r>
        <w:t xml:space="preserve"> </w:t>
      </w:r>
      <w:r>
        <w:t xml:space="preserve">“because light acts on your skin rather than passing through your gut”</w:t>
      </w:r>
      <w:r>
        <w:t xml:space="preserve"> </w:t>
      </w:r>
      <w:r>
        <w:t xml:space="preserve">carries the same meaning without the construction.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2026-08-03T04:13:20Z</dcterms:created>
  <dcterms:modified xsi:type="dcterms:W3CDTF">2026-08-03T04:13:20Z</dcterms:modified>
</cp:coreProperties>
</file>

<file path=docProps/custom.xml><?xml version="1.0" encoding="utf-8"?>
<Properties xmlns="http://schemas.openxmlformats.org/officeDocument/2006/custom-properties" xmlns:vt="http://schemas.openxmlformats.org/officeDocument/2006/docPropsVTypes"/>
</file>