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apture-status"/>
    <w:p>
      <w:pPr>
        <w:pStyle w:val="Heading1"/>
      </w:pPr>
      <w:r>
        <w:t xml:space="preserve">Capture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Workflow</w:t>
            </w:r>
          </w:p>
        </w:tc>
        <w:tc>
          <w:tcPr/>
          <w:p>
            <w:pPr>
              <w:pStyle w:val="Compact"/>
            </w:pPr>
            <w:r>
              <w:t xml:space="preserve">Touches</w:t>
            </w:r>
          </w:p>
        </w:tc>
        <w:tc>
          <w:tcPr/>
          <w:p>
            <w:pPr>
              <w:pStyle w:val="Compact"/>
            </w:pPr>
            <w:r>
              <w:t xml:space="preserve">Captured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Consumer Drip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Commercial Drip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Partner Drip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Investor Drip, Cold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Investor Warm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WF-17 Long-Term Nurture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WF-13 Tired Test Emails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WF-14 Recovery Protocol Emails</w:t>
            </w:r>
          </w:p>
        </w:tc>
        <w:tc>
          <w:tcPr/>
          <w:p>
            <w:pPr>
              <w:pStyle w:val="Compact"/>
            </w:pPr>
            <w:r>
              <w:t xml:space="preserve">4 + A/B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WF-16 Synthesis Gap Emails</w:t>
            </w:r>
          </w:p>
        </w:tc>
        <w:tc>
          <w:tcPr/>
          <w:p>
            <w:pPr>
              <w:pStyle w:val="Compact"/>
            </w:pPr>
            <w:r>
              <w:t xml:space="preserve">3 x A/B = 6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WF-20 Winter Protocol Emails</w:t>
            </w:r>
          </w:p>
        </w:tc>
        <w:tc>
          <w:tcPr/>
          <w:p>
            <w:pPr>
              <w:pStyle w:val="Compact"/>
            </w:pPr>
            <w:r>
              <w:t xml:space="preserve">3 + 3A/3B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WF-22 VD Assessment Nurture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WF-21 VD Assessment results email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WF-29 Abandoned Checkout Recovery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WF-25 Testimonial Request</w:t>
            </w:r>
          </w:p>
        </w:tc>
        <w:tc>
          <w:tcPr/>
          <w:p>
            <w:pPr>
              <w:pStyle w:val="Compact"/>
            </w:pPr>
            <w:r>
              <w:t xml:space="preserve">2 branches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WF-26 Testimonial Received</w:t>
            </w:r>
          </w:p>
        </w:tc>
        <w:tc>
          <w:tcPr/>
          <w:p>
            <w:pPr>
              <w:pStyle w:val="Compact"/>
            </w:pPr>
            <w:r>
              <w:t xml:space="preserve">thank-you + internal notification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WF-06 New Customer Onboarding</w:t>
            </w:r>
          </w:p>
        </w:tc>
        <w:tc>
          <w:tcPr/>
          <w:p>
            <w:pPr>
              <w:pStyle w:val="Compact"/>
            </w:pP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WF-07 Review and Referral Activation</w:t>
            </w:r>
          </w:p>
        </w:tc>
        <w:tc>
          <w:tcPr/>
          <w:p>
            <w:pPr>
              <w:pStyle w:val="Compact"/>
            </w:pP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WF-02 5-minute SMS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WF-08 Cold reactivation</w:t>
            </w:r>
          </w:p>
        </w:tc>
        <w:tc>
          <w:tcPr/>
          <w:p>
            <w:pPr>
              <w:pStyle w:val="Compact"/>
            </w:pP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p>
      <w:pPr>
        <w:pStyle w:val="BodyText"/>
      </w:pPr>
      <w:r>
        <w:t xml:space="preserve">Priority order: the five drips first (highest volume and most compliance-audited), then magnet nurtures, then transactional.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2026-08-03T04:13:20Z</dcterms:created>
  <dcterms:modified xsi:type="dcterms:W3CDTF">2026-08-03T04:13:20Z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