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f-17-long-term-nurture"/>
    <w:p>
      <w:pPr>
        <w:pStyle w:val="Heading1"/>
      </w:pPr>
      <w:r>
        <w:t xml:space="preserve">WF-17 Long-Term Nurture</w:t>
      </w:r>
    </w:p>
    <w:p>
      <w:pPr>
        <w:pStyle w:val="FirstParagraph"/>
      </w:pPr>
      <w:r>
        <w:rPr>
          <w:b/>
          <w:bCs/>
        </w:rPr>
        <w:t xml:space="preserve">Trigger:</w:t>
      </w:r>
      <w:r>
        <w:t xml:space="preserve"> </w:t>
      </w:r>
      <w:r>
        <w:t xml:space="preserve">Contact Tag</w:t>
      </w:r>
      <w:r>
        <w:t xml:space="preserve"> </w:t>
      </w:r>
      <w:r>
        <w:rPr>
          <w:rStyle w:val="VerbatimChar"/>
        </w:rPr>
        <w:t xml:space="preserve">nurture_longterm</w:t>
      </w:r>
      <w:r>
        <w:t xml:space="preserve"> </w:t>
      </w:r>
      <w:r>
        <w:rPr>
          <w:b/>
          <w:bCs/>
        </w:rPr>
        <w:t xml:space="preserve">Touches:</w:t>
      </w:r>
      <w:r>
        <w:t xml:space="preserve"> </w:t>
      </w:r>
      <w:r>
        <w:t xml:space="preserve">7 emails over 54 days</w:t>
      </w:r>
      <w:r>
        <w:t xml:space="preserve"> </w:t>
      </w:r>
      <w:r>
        <w:rPr>
          <w:b/>
          <w:bCs/>
        </w:rPr>
        <w:t xml:space="preserve">Shared by all five magnet series.</w:t>
      </w:r>
      <w:r>
        <w:t xml:space="preserve"> </w:t>
      </w:r>
      <w:r>
        <w:t xml:space="preserve">Every lead that finishes a magnet nurture lands here, so this workflow carries more traffic than any other nurture in the account.</w:t>
      </w:r>
      <w:r>
        <w:t xml:space="preserve"> </w:t>
      </w:r>
      <w:r>
        <w:rPr>
          <w:b/>
          <w:bCs/>
        </w:rPr>
        <w:t xml:space="preserve">Captured:</w:t>
      </w:r>
      <w:r>
        <w:t xml:space="preserve"> </w:t>
      </w:r>
      <w:r>
        <w:t xml:space="preserve">2026-08-02, complete, with two corrections applied and one finding resolved by adding to the KB rather than trimming the copy.</w:t>
      </w:r>
    </w:p>
    <w:p>
      <w:pPr>
        <w:pStyle w:val="BodyText"/>
      </w:pPr>
      <w:r>
        <w:rPr>
          <w:b/>
          <w:bCs/>
        </w:rPr>
        <w:t xml:space="preserve">The best-written workflow in the account.</w:t>
      </w:r>
      <w:r>
        <w:t xml:space="preserve"> </w:t>
      </w:r>
      <w:r>
        <w:t xml:space="preserve">It teaches before it asks, gives away useful material with no pitch in touches 1 and 3, and touch 2 is the most honest handling of the study data anywhere in the funnel.</w:t>
      </w:r>
    </w:p>
    <w:p>
      <w:r>
        <w:pict>
          <v:rect style="width:0;height:1.5pt" o:hralign="center" o:hrstd="t" o:hr="t"/>
        </w:pict>
      </w:r>
    </w:p>
    <w:bookmarkStart w:id="9" w:name="touch-1-day-1-email"/>
    <w:p>
      <w:pPr>
        <w:pStyle w:val="Heading2"/>
      </w:pPr>
      <w:r>
        <w:t xml:space="preserve">Touch 1 | Day 1 | Email</w:t>
      </w:r>
    </w:p>
    <w:p>
      <w:pPr>
        <w:pStyle w:val="FirstParagraph"/>
      </w:pPr>
      <w:r>
        <w:rPr>
          <w:b/>
          <w:bCs/>
        </w:rPr>
        <w:t xml:space="preserve">Subject:</w:t>
      </w:r>
      <w:r>
        <w:t xml:space="preserve"> </w:t>
      </w:r>
      <w:r>
        <w:t xml:space="preserve">The one number worth knowing before anything else</w:t>
      </w:r>
    </w:p>
    <w:p>
      <w:pPr>
        <w:pStyle w:val="BodyText"/>
      </w:pPr>
      <w:r>
        <w:rPr>
          <w:b/>
          <w:bCs/>
        </w:rPr>
        <w:t xml:space="preserve">Body:</w:t>
      </w:r>
    </w:p>
    <w:p>
      <w:pPr>
        <w:pStyle w:val="SourceCode"/>
      </w:pPr>
      <w:r>
        <w:rPr>
          <w:rStyle w:val="VerbatimChar"/>
        </w:rPr>
        <w:t xml:space="preserve">You have the guide. Here is the practical next step almost nobody takes.</w:t>
      </w:r>
      <w:r>
        <w:br/>
      </w:r>
      <w:r>
        <w:br/>
      </w:r>
      <w:r>
        <w:rPr>
          <w:rStyle w:val="VerbatimChar"/>
        </w:rPr>
        <w:t xml:space="preserve">Get your vitamin D level tested. An actual number, not a guess. Most people have never seen theirs or saw it once years ago and forgot it. You can order the test yourself in most places without a doctor visit, and it costs less than a nice dinner.</w:t>
      </w:r>
      <w:r>
        <w:br/>
      </w:r>
      <w:r>
        <w:br/>
      </w:r>
      <w:r>
        <w:rPr>
          <w:rStyle w:val="VerbatimChar"/>
        </w:rPr>
        <w:t xml:space="preserve">Why it matters: the whole synthesis-versus-supplement question is abstract until you have your own baseline. "Insufficient despite supplementing" is a statistic until it is your statistic. Once you know your number, everything in the guide stops being theory and starts being about you.</w:t>
      </w:r>
      <w:r>
        <w:br/>
      </w:r>
      <w:r>
        <w:br/>
      </w:r>
      <w:r>
        <w:rPr>
          <w:rStyle w:val="VerbatimChar"/>
        </w:rPr>
        <w:t xml:space="preserve">If you are under 40 ng/mL, you are where most people are, and below where the research suggests you want to be. If you are between 40 and 60, you are "sufficient" on paper and likely nowhere near optimal. Either way, the number is the starting line.</w:t>
      </w:r>
      <w:r>
        <w:br/>
      </w:r>
      <w:r>
        <w:br/>
      </w:r>
      <w:r>
        <w:rPr>
          <w:rStyle w:val="VerbatimChar"/>
        </w:rPr>
        <w:t xml:space="preserve">No pitch today. Just get the test. The rest of what I send will make more sense once you have your own number to hold it against.</w:t>
      </w:r>
      <w:r>
        <w:br/>
      </w:r>
      <w:r>
        <w:br/>
      </w:r>
      <w:r>
        <w:rPr>
          <w:rStyle w:val="VerbatimChar"/>
        </w:rPr>
        <w:t xml:space="preserve">{{custom_values.standard_signature}}</w:t>
      </w:r>
    </w:p>
    <w:p>
      <w:pPr>
        <w:pStyle w:val="FirstParagraph"/>
      </w:pPr>
      <w:r>
        <w:rPr>
          <w:b/>
          <w:bCs/>
        </w:rPr>
        <w:t xml:space="preserve">Note:</w:t>
      </w:r>
      <w:r>
        <w:t xml:space="preserve"> </w:t>
      </w:r>
      <w:r>
        <w:t xml:space="preserve">no product mention, no link, deliberately. Sets up every touch that follows by giving the reader their own baseline to measure against.</w:t>
      </w:r>
    </w:p>
    <w:p>
      <w:r>
        <w:pict>
          <v:rect style="width:0;height:1.5pt" o:hralign="center" o:hrstd="t" o:hr="t"/>
        </w:pict>
      </w:r>
    </w:p>
    <w:bookmarkEnd w:id="9"/>
    <w:bookmarkStart w:id="10" w:name="touch-2-day-9-email"/>
    <w:p>
      <w:pPr>
        <w:pStyle w:val="Heading2"/>
      </w:pPr>
      <w:r>
        <w:t xml:space="preserve">Touch 2 | Day 9 | Email</w:t>
      </w:r>
    </w:p>
    <w:p>
      <w:pPr>
        <w:pStyle w:val="FirstParagraph"/>
      </w:pPr>
      <w:r>
        <w:rPr>
          <w:b/>
          <w:bCs/>
        </w:rPr>
        <w:t xml:space="preserve">Subject:</w:t>
      </w:r>
      <w:r>
        <w:t xml:space="preserve"> </w:t>
      </w:r>
      <w:r>
        <w:t xml:space="preserve">Five people, twelve weeks, every number</w:t>
      </w:r>
    </w:p>
    <w:p>
      <w:pPr>
        <w:pStyle w:val="BodyText"/>
      </w:pPr>
      <w:r>
        <w:rPr>
          <w:b/>
          <w:bCs/>
        </w:rPr>
        <w:t xml:space="preserve">Body:</w:t>
      </w:r>
    </w:p>
    <w:p>
      <w:pPr>
        <w:pStyle w:val="SourceCode"/>
      </w:pPr>
      <w:r>
        <w:rPr>
          <w:rStyle w:val="VerbatimChar"/>
        </w:rPr>
        <w:t xml:space="preserve">Last email I asked you to get your baseline. Here is what changed for five people who tracked theirs across twelve weeks on the platform.</w:t>
      </w:r>
      <w:r>
        <w:br/>
      </w:r>
      <w:r>
        <w:br/>
      </w:r>
      <w:r>
        <w:rPr>
          <w:rStyle w:val="VerbatimChar"/>
        </w:rPr>
        <w:t xml:space="preserve">This was an internal observational cohort. Small and honest: N=5, skin types II to IV, averaging about five sessions a week. Here is every participant, not just the average.</w:t>
      </w:r>
      <w:r>
        <w:br/>
      </w:r>
      <w:r>
        <w:br/>
      </w:r>
      <w:r>
        <w:rPr>
          <w:rStyle w:val="VerbatimChar"/>
        </w:rPr>
        <w:t xml:space="preserve">- Participant 1, Skin Type II: 38.4 to 86.0 ng/mL</w:t>
      </w:r>
      <w:r>
        <w:br/>
      </w:r>
      <w:r>
        <w:rPr>
          <w:rStyle w:val="VerbatimChar"/>
        </w:rPr>
        <w:t xml:space="preserve">- Participant 2, Skin Type III: 34.0 to 88.4 ng/mL</w:t>
      </w:r>
      <w:r>
        <w:br/>
      </w:r>
      <w:r>
        <w:rPr>
          <w:rStyle w:val="VerbatimChar"/>
        </w:rPr>
        <w:t xml:space="preserve">- Participant 3, Skin Type III: 37.0 to 78.0 ng/mL</w:t>
      </w:r>
      <w:r>
        <w:br/>
      </w:r>
      <w:r>
        <w:rPr>
          <w:rStyle w:val="VerbatimChar"/>
        </w:rPr>
        <w:t xml:space="preserve">- Participant 4, Skin Type IV: 47.0 to 88.7 ng/mL</w:t>
      </w:r>
      <w:r>
        <w:br/>
      </w:r>
      <w:r>
        <w:rPr>
          <w:rStyle w:val="VerbatimChar"/>
        </w:rPr>
        <w:t xml:space="preserve">- Participant 5, Skin Type III: 43.4 to 79.9 ng/mL</w:t>
      </w:r>
      <w:r>
        <w:br/>
      </w:r>
      <w:r>
        <w:br/>
      </w:r>
      <w:r>
        <w:rPr>
          <w:rStyle w:val="VerbatimChar"/>
        </w:rPr>
        <w:t xml:space="preserve">Every one of them started insufficient or borderline. Every one reached optimal. Zero adverse events, zero dropouts.</w:t>
      </w:r>
      <w:r>
        <w:br/>
      </w:r>
      <w:r>
        <w:br/>
      </w:r>
      <w:r>
        <w:rPr>
          <w:rStyle w:val="VerbatimChar"/>
        </w:rPr>
        <w:t xml:space="preserve">I am not going to oversell five people. It is a signal, not a verdict, and larger trials are in development. But notice what it is not: it is not five people who took a supplement and hoped. It is five people who ran the synthesis process and watched their own labs move. That is the difference the guide is about, shown in actual numbers.</w:t>
      </w:r>
      <w:r>
        <w:br/>
      </w:r>
      <w:r>
        <w:br/>
      </w:r>
      <w:r>
        <w:rPr>
          <w:rStyle w:val="VerbatimChar"/>
        </w:rPr>
        <w:t xml:space="preserve">See the full study and the platform</w:t>
      </w:r>
      <w:r>
        <w:br/>
      </w:r>
      <w:r>
        <w:br/>
      </w:r>
      <w:r>
        <w:rPr>
          <w:rStyle w:val="VerbatimChar"/>
        </w:rPr>
        <w:t xml:space="preserve">{{custom_values.standard_signature}}</w:t>
      </w:r>
    </w:p>
    <w:p>
      <w:pPr>
        <w:pStyle w:val="FirstParagraph"/>
      </w:pPr>
      <w:r>
        <w:rPr>
          <w:b/>
          <w:bCs/>
        </w:rPr>
        <w:t xml:space="preserve">Checked:</w:t>
      </w:r>
      <w:r>
        <w:t xml:space="preserve"> </w:t>
      </w:r>
      <w:r>
        <w:t xml:space="preserve">all five participant figures match KB Section 4 exactly.</w:t>
      </w:r>
    </w:p>
    <w:p>
      <w:pPr>
        <w:pStyle w:val="BodyText"/>
      </w:pPr>
      <w:r>
        <w:rPr>
          <w:b/>
          <w:bCs/>
        </w:rPr>
        <w:t xml:space="preserve">The model for how to cite this data.</w:t>
      </w:r>
      <w:r>
        <w:t xml:space="preserve"> </w:t>
      </w:r>
      <w:r>
        <w:t xml:space="preserve">N=5 stated up front,</w:t>
      </w:r>
      <w:r>
        <w:t xml:space="preserve"> </w:t>
      </w:r>
      <w:r>
        <w:t xml:space="preserve">“small and honest”</w:t>
      </w:r>
      <w:r>
        <w:t xml:space="preserve">, participant-level numbers rather than only the flattering average, and</w:t>
      </w:r>
      <w:r>
        <w:t xml:space="preserve"> </w:t>
      </w:r>
      <w:r>
        <w:t xml:space="preserve">“I am not going to oversell five people. It is a signal, not a verdict.”</w:t>
      </w:r>
      <w:r>
        <w:t xml:space="preserve"> </w:t>
      </w:r>
      <w:r>
        <w:t xml:space="preserve">Nothing is hidden and the paragraph is more persuasive for it.</w:t>
      </w:r>
    </w:p>
    <w:p>
      <w:pPr>
        <w:pStyle w:val="BodyText"/>
      </w:pPr>
      <w:r>
        <w:rPr>
          <w:b/>
          <w:bCs/>
        </w:rPr>
        <w:t xml:space="preserve">Bullet glyphs corrected in GHL, Aug 2.</w:t>
      </w:r>
      <w:r>
        <w:t xml:space="preserve"> </w:t>
      </w:r>
      <w:r>
        <w:t xml:space="preserve">The live version used a non-ASCII</w:t>
      </w:r>
      <w:r>
        <w:t xml:space="preserve"> </w:t>
      </w:r>
      <w:r>
        <w:rPr>
          <w:rStyle w:val="VerbatimChar"/>
        </w:rPr>
        <w:t xml:space="preserve">●</w:t>
      </w:r>
      <w:r>
        <w:t xml:space="preserve"> </w:t>
      </w:r>
      <w:r>
        <w:t xml:space="preserve">with tab spacing, against the ASCII-only rule and rendering inconsistently across email clients. Now plain hyphens in both GHL and this file.</w:t>
      </w:r>
    </w:p>
    <w:p>
      <w:r>
        <w:pict>
          <v:rect style="width:0;height:1.5pt" o:hralign="center" o:hrstd="t" o:hr="t"/>
        </w:pict>
      </w:r>
    </w:p>
    <w:bookmarkEnd w:id="10"/>
    <w:bookmarkStart w:id="11" w:name="touch-3-day-18-email"/>
    <w:p>
      <w:pPr>
        <w:pStyle w:val="Heading2"/>
      </w:pPr>
      <w:r>
        <w:t xml:space="preserve">Touch 3 | Day 18 | Email</w:t>
      </w:r>
    </w:p>
    <w:p>
      <w:pPr>
        <w:pStyle w:val="FirstParagraph"/>
      </w:pPr>
      <w:r>
        <w:rPr>
          <w:b/>
          <w:bCs/>
        </w:rPr>
        <w:t xml:space="preserve">Subject:</w:t>
      </w:r>
      <w:r>
        <w:t xml:space="preserve"> </w:t>
      </w:r>
      <w:r>
        <w:t xml:space="preserve">Why morning light and midday light do different jobs</w:t>
      </w:r>
    </w:p>
    <w:p>
      <w:pPr>
        <w:pStyle w:val="BodyText"/>
      </w:pPr>
      <w:r>
        <w:rPr>
          <w:b/>
          <w:bCs/>
        </w:rPr>
        <w:t xml:space="preserve">Body:</w:t>
      </w:r>
    </w:p>
    <w:p>
      <w:pPr>
        <w:pStyle w:val="SourceCode"/>
      </w:pPr>
      <w:r>
        <w:rPr>
          <w:rStyle w:val="VerbatimChar"/>
        </w:rPr>
        <w:t xml:space="preserve">A useful thing to understand, whether or not you ever buy anything from us.</w:t>
      </w:r>
      <w:r>
        <w:br/>
      </w:r>
      <w:r>
        <w:br/>
      </w:r>
      <w:r>
        <w:rPr>
          <w:rStyle w:val="VerbatimChar"/>
        </w:rPr>
        <w:t xml:space="preserve">Light does different work at different times of day. Morning light, especially, sets your circadian clock. It tells your body when to be alert and, twelve to fourteen hours later, when to release melatonin for sleep. This is why a few minutes of morning light outdoors improves a lot of people's sleep more than any supplement they have tried.</w:t>
      </w:r>
      <w:r>
        <w:br/>
      </w:r>
      <w:r>
        <w:br/>
      </w:r>
      <w:r>
        <w:rPr>
          <w:rStyle w:val="VerbatimChar"/>
        </w:rPr>
        <w:t xml:space="preserve">Midday light does something different. That is when the sun is high enough for UVB to actually reach the angle that drives vitamin D synthesis. Early morning and late afternoon light is beautiful, but it is mostly the wrong wavelength for the synthesis cascade. This is why "I walk every morning" and "I am still deficient" can both be true.</w:t>
      </w:r>
      <w:r>
        <w:br/>
      </w:r>
      <w:r>
        <w:br/>
      </w:r>
      <w:r>
        <w:rPr>
          <w:rStyle w:val="VerbatimChar"/>
        </w:rPr>
        <w:t xml:space="preserve">The practical takeaway costs nothing: get some light early for your clock, and understand that the synthesis pathway specifically needs the midday UVB window, which most modern schedules and most latitudes do not reliably provide for much of the year. That gap is the whole reason controlled UVB exists.</w:t>
      </w:r>
      <w:r>
        <w:br/>
      </w:r>
      <w:r>
        <w:br/>
      </w:r>
      <w:r>
        <w:rPr>
          <w:rStyle w:val="VerbatimChar"/>
        </w:rPr>
        <w:t xml:space="preserve">No ask today. Just something worth knowing.</w:t>
      </w:r>
      <w:r>
        <w:br/>
      </w:r>
      <w:r>
        <w:br/>
      </w:r>
      <w:r>
        <w:rPr>
          <w:rStyle w:val="VerbatimChar"/>
        </w:rPr>
        <w:t xml:space="preserve">{{custom_values.standard_signature}}</w:t>
      </w:r>
    </w:p>
    <w:p>
      <w:pPr>
        <w:pStyle w:val="FirstParagraph"/>
      </w:pPr>
      <w:r>
        <w:rPr>
          <w:b/>
          <w:bCs/>
        </w:rPr>
        <w:t xml:space="preserve">Note:</w:t>
      </w:r>
      <w:r>
        <w:t xml:space="preserve"> </w:t>
      </w:r>
      <w:r>
        <w:t xml:space="preserve">second no-ask email in the sequence.</w:t>
      </w:r>
      <w:r>
        <w:t xml:space="preserve"> </w:t>
      </w:r>
      <w:r>
        <w:t xml:space="preserve">“This is why</w:t>
      </w:r>
      <w:r>
        <w:t xml:space="preserve"> </w:t>
      </w:r>
      <w:r>
        <w:t xml:space="preserve">‘I walk every morning’</w:t>
      </w:r>
      <w:r>
        <w:t xml:space="preserve"> </w:t>
      </w:r>
      <w:r>
        <w:t xml:space="preserve">and</w:t>
      </w:r>
      <w:r>
        <w:t xml:space="preserve"> </w:t>
      </w:r>
      <w:r>
        <w:t xml:space="preserve">‘I am still deficient’</w:t>
      </w:r>
      <w:r>
        <w:t xml:space="preserve"> </w:t>
      </w:r>
      <w:r>
        <w:t xml:space="preserve">can both be true”</w:t>
      </w:r>
      <w:r>
        <w:t xml:space="preserve"> </w:t>
      </w:r>
      <w:r>
        <w:t xml:space="preserve">resolves a contradiction the reader is probably living with.</w:t>
      </w:r>
    </w:p>
    <w:p>
      <w:r>
        <w:pict>
          <v:rect style="width:0;height:1.5pt" o:hralign="center" o:hrstd="t" o:hr="t"/>
        </w:pict>
      </w:r>
    </w:p>
    <w:bookmarkEnd w:id="11"/>
    <w:bookmarkStart w:id="12" w:name="touch-4-day-27-email"/>
    <w:p>
      <w:pPr>
        <w:pStyle w:val="Heading2"/>
      </w:pPr>
      <w:r>
        <w:t xml:space="preserve">Touch 4 | Day 27 | Email</w:t>
      </w:r>
    </w:p>
    <w:p>
      <w:pPr>
        <w:pStyle w:val="FirstParagraph"/>
      </w:pPr>
      <w:r>
        <w:rPr>
          <w:b/>
          <w:bCs/>
        </w:rPr>
        <w:t xml:space="preserve">Subject:</w:t>
      </w:r>
      <w:r>
        <w:t xml:space="preserve"> </w:t>
      </w:r>
      <w:r>
        <w:t xml:space="preserve">Is $2,995 a lot for light?</w:t>
      </w:r>
    </w:p>
    <w:p>
      <w:pPr>
        <w:pStyle w:val="BodyText"/>
      </w:pPr>
      <w:r>
        <w:rPr>
          <w:b/>
          <w:bCs/>
        </w:rPr>
        <w:t xml:space="preserve">Body:</w:t>
      </w:r>
    </w:p>
    <w:p>
      <w:pPr>
        <w:pStyle w:val="SourceCode"/>
      </w:pPr>
      <w:r>
        <w:rPr>
          <w:rStyle w:val="VerbatimChar"/>
        </w:rPr>
        <w:t xml:space="preserve">Let me address the number directly, because you are probably thinking about it.</w:t>
      </w:r>
      <w:r>
        <w:br/>
      </w:r>
      <w:r>
        <w:br/>
      </w:r>
      <w:r>
        <w:rPr>
          <w:rStyle w:val="VerbatimChar"/>
        </w:rPr>
        <w:t xml:space="preserve">$2,995 is a real amount of money. I am not going to pretend it is an impulse buy. So here is the honest way to think about it, the way I would if I were on your side of the table.</w:t>
      </w:r>
      <w:r>
        <w:br/>
      </w:r>
      <w:r>
        <w:br/>
      </w:r>
      <w:r>
        <w:rPr>
          <w:rStyle w:val="VerbatimChar"/>
        </w:rPr>
        <w:t xml:space="preserve">It is a one-time cost for something you use for years, not a monthly bottle you rebuy forever. Spread across a four-year span at a few sessions a week, it works out to a couple of dollars a session for the one input the research says you cannot get from a capsule. Compare that to what you have already spent on D3 you keep rebuying, lab tests that keep coming back low, and the years of being "sufficient" but not optimal.</w:t>
      </w:r>
      <w:r>
        <w:br/>
      </w:r>
      <w:r>
        <w:br/>
      </w:r>
      <w:r>
        <w:rPr>
          <w:rStyle w:val="VerbatimChar"/>
        </w:rPr>
        <w:t xml:space="preserve">And it supports up to six people in a household on the same unit. If two people in your home use it, the math changes again.</w:t>
      </w:r>
      <w:r>
        <w:br/>
      </w:r>
      <w:r>
        <w:br/>
      </w:r>
      <w:r>
        <w:rPr>
          <w:rStyle w:val="VerbatimChar"/>
        </w:rPr>
        <w:t xml:space="preserve">Here is the part that should matter most to someone who reads the research. You do not have to trust my math. Run it against your own labs: baseline before, retest at eight to twelve weeks, decide on data. And separately, there is a 30-day money-back guarantee, so if the platform is not for you, send it back inside 30 days without waiting on any of that.</w:t>
      </w:r>
      <w:r>
        <w:br/>
      </w:r>
      <w:r>
        <w:br/>
      </w:r>
      <w:r>
        <w:rPr>
          <w:rStyle w:val="VerbatimChar"/>
        </w:rPr>
        <w:t xml:space="preserve">See the platform and the guarantee</w:t>
      </w:r>
      <w:r>
        <w:br/>
      </w:r>
      <w:r>
        <w:br/>
      </w:r>
      <w:r>
        <w:rPr>
          <w:rStyle w:val="VerbatimChar"/>
        </w:rPr>
        <w:t xml:space="preserve">{{custom_values.standard_signature}}</w:t>
      </w:r>
    </w:p>
    <w:p>
      <w:pPr>
        <w:pStyle w:val="FirstParagraph"/>
      </w:pPr>
      <w:r>
        <w:rPr>
          <w:b/>
          <w:bCs/>
        </w:rPr>
        <w:t xml:space="preserve">CORRECTED Aug 2.</w:t>
      </w:r>
      <w:r>
        <w:t xml:space="preserve"> </w:t>
      </w:r>
      <w:r>
        <w:t xml:space="preserve">See the guarantee note at the foot of this file.</w:t>
      </w:r>
    </w:p>
    <w:p>
      <w:r>
        <w:pict>
          <v:rect style="width:0;height:1.5pt" o:hralign="center" o:hrstd="t" o:hr="t"/>
        </w:pict>
      </w:r>
    </w:p>
    <w:bookmarkEnd w:id="12"/>
    <w:bookmarkStart w:id="13" w:name="touch-5-day-36-email"/>
    <w:p>
      <w:pPr>
        <w:pStyle w:val="Heading2"/>
      </w:pPr>
      <w:r>
        <w:t xml:space="preserve">Touch 5 | Day 36 | Email</w:t>
      </w:r>
    </w:p>
    <w:p>
      <w:pPr>
        <w:pStyle w:val="FirstParagraph"/>
      </w:pPr>
      <w:r>
        <w:rPr>
          <w:b/>
          <w:bCs/>
        </w:rPr>
        <w:t xml:space="preserve">Subject:</w:t>
      </w:r>
      <w:r>
        <w:t xml:space="preserve"> </w:t>
      </w:r>
      <w:r>
        <w:t xml:space="preserve">Three pathways, one session, revisited</w:t>
      </w:r>
    </w:p>
    <w:p>
      <w:pPr>
        <w:pStyle w:val="BodyText"/>
      </w:pPr>
      <w:r>
        <w:rPr>
          <w:b/>
          <w:bCs/>
        </w:rPr>
        <w:t xml:space="preserve">Body:</w:t>
      </w:r>
    </w:p>
    <w:p>
      <w:pPr>
        <w:pStyle w:val="SourceCode"/>
      </w:pPr>
      <w:r>
        <w:rPr>
          <w:rStyle w:val="VerbatimChar"/>
        </w:rPr>
        <w:t xml:space="preserve">You saw this in the guide. It is worth seeing again, because it is the whole idea, and most people only really absorb it the second time.</w:t>
      </w:r>
      <w:r>
        <w:br/>
      </w:r>
      <w:r>
        <w:br/>
      </w:r>
      <w:r>
        <w:rPr>
          <w:rStyle w:val="VerbatimChar"/>
        </w:rPr>
        <w:t xml:space="preserve">When the right light reaches your skin, three things happen at once, in the same two-to-four-minute window. Enyrgy calls it the Triple-Pathway Advantage(TM).</w:t>
      </w:r>
      <w:r>
        <w:br/>
      </w:r>
      <w:r>
        <w:br/>
      </w:r>
      <w:r>
        <w:rPr>
          <w:rStyle w:val="VerbatimChar"/>
        </w:rPr>
        <w:t xml:space="preserve">UVB runs the vitamin D cascade: D3, vitamin D sulfate with a longer half-life than the oral form, and photoproducts that exist in no capsule.</w:t>
      </w:r>
      <w:r>
        <w:br/>
      </w:r>
      <w:r>
        <w:br/>
      </w:r>
      <w:r>
        <w:rPr>
          <w:rStyle w:val="VerbatimChar"/>
        </w:rPr>
        <w:t xml:space="preserve">UVA opens a separate tap on nitric oxide, cleaving it directly from preformed stores in your skin into your bloodstream. Supplements like arginine and citrulline feed a different, enzymatic route. This is the light-driven one they cannot reach.</w:t>
      </w:r>
      <w:r>
        <w:br/>
      </w:r>
      <w:r>
        <w:br/>
      </w:r>
      <w:r>
        <w:rPr>
          <w:rStyle w:val="VerbatimChar"/>
        </w:rPr>
        <w:t xml:space="preserve">And a third pathway supports serotonin activation, which is part of why winter feels the way it does at northern latitudes, and why the right light helps.</w:t>
      </w:r>
      <w:r>
        <w:br/>
      </w:r>
      <w:r>
        <w:br/>
      </w:r>
      <w:r>
        <w:rPr>
          <w:rStyle w:val="VerbatimChar"/>
        </w:rPr>
        <w:t xml:space="preserve">One trigger. Three responses. The reason the supplement aisle, however large, cannot reproduce what a few minutes of the correct light does. Your body already runs all three. It has just lost reliable access to the trigger.</w:t>
      </w:r>
      <w:r>
        <w:br/>
      </w:r>
      <w:r>
        <w:br/>
      </w:r>
      <w:r>
        <w:rPr>
          <w:rStyle w:val="VerbatimChar"/>
        </w:rPr>
        <w:t xml:space="preserve">{{custom_values.standard_signature}}</w:t>
      </w:r>
    </w:p>
    <w:p>
      <w:pPr>
        <w:pStyle w:val="FirstParagraph"/>
      </w:pPr>
      <w:r>
        <w:rPr>
          <w:b/>
          <w:bCs/>
        </w:rPr>
        <w:t xml:space="preserve">Checked:</w:t>
      </w:r>
      <w:r>
        <w:t xml:space="preserve"> </w:t>
      </w:r>
      <w:r>
        <w:t xml:space="preserve">the nitric oxide framing matches the KB rule exactly. It describes UVA photorelease from preformed skin stores as a separate route from the enzymatic one that arginine and citrulline feed, and never says</w:t>
      </w:r>
      <w:r>
        <w:t xml:space="preserve"> </w:t>
      </w:r>
      <w:r>
        <w:t xml:space="preserve">“no supplement produces nitric oxide.”</w:t>
      </w:r>
    </w:p>
    <w:p>
      <w:r>
        <w:pict>
          <v:rect style="width:0;height:1.5pt" o:hralign="center" o:hrstd="t" o:hr="t"/>
        </w:pict>
      </w:r>
    </w:p>
    <w:bookmarkEnd w:id="13"/>
    <w:bookmarkStart w:id="14" w:name="touch-6-day-45-email"/>
    <w:p>
      <w:pPr>
        <w:pStyle w:val="Heading2"/>
      </w:pPr>
      <w:r>
        <w:t xml:space="preserve">Touch 6 | Day 45 | Email</w:t>
      </w:r>
    </w:p>
    <w:p>
      <w:pPr>
        <w:pStyle w:val="FirstParagraph"/>
      </w:pPr>
      <w:r>
        <w:rPr>
          <w:b/>
          <w:bCs/>
        </w:rPr>
        <w:t xml:space="preserve">Subject:</w:t>
      </w:r>
      <w:r>
        <w:t xml:space="preserve"> </w:t>
      </w:r>
      <w:r>
        <w:t xml:space="preserve">The researchers who built the protocol</w:t>
      </w:r>
    </w:p>
    <w:p>
      <w:pPr>
        <w:pStyle w:val="BodyText"/>
      </w:pPr>
      <w:r>
        <w:rPr>
          <w:b/>
          <w:bCs/>
        </w:rPr>
        <w:t xml:space="preserve">Body:</w:t>
      </w:r>
    </w:p>
    <w:p>
      <w:pPr>
        <w:pStyle w:val="SourceCode"/>
      </w:pPr>
      <w:r>
        <w:rPr>
          <w:rStyle w:val="VerbatimChar"/>
        </w:rPr>
        <w:t xml:space="preserve">A fair question about any health device is: who is behind the science. Here is the honest answer for Enyrgy.</w:t>
      </w:r>
      <w:r>
        <w:br/>
      </w:r>
      <w:r>
        <w:br/>
      </w:r>
      <w:r>
        <w:rPr>
          <w:rStyle w:val="VerbatimChar"/>
        </w:rPr>
        <w:t xml:space="preserve">The protocol that governs every session was not built by engineers guessing at safe numbers. It was built by researchers who have spent their careers on this exact subject.</w:t>
      </w:r>
      <w:r>
        <w:br/>
      </w:r>
      <w:r>
        <w:br/>
      </w:r>
      <w:r>
        <w:rPr>
          <w:rStyle w:val="VerbatimChar"/>
        </w:rPr>
        <w:t xml:space="preserve">Dr. Bruce Hollis has spent over forty years on vitamin D research, with work cited more than 70,000 times, much of it on the precise difference between oral supplementation and UVB-synthesized vitamin D. That distinction is the foundation of this entire approach.</w:t>
      </w:r>
      <w:r>
        <w:br/>
      </w:r>
      <w:r>
        <w:br/>
      </w:r>
      <w:r>
        <w:rPr>
          <w:rStyle w:val="VerbatimChar"/>
        </w:rPr>
        <w:t xml:space="preserve">Dr. William Grant has published more than 350 peer-reviewed papers on vitamin D, sunlight, and health outcomes, using NASA UVB satellite data to map how sunlight exposure tracks with health across populations.</w:t>
      </w:r>
      <w:r>
        <w:br/>
      </w:r>
      <w:r>
        <w:br/>
      </w:r>
      <w:r>
        <w:rPr>
          <w:rStyle w:val="VerbatimChar"/>
        </w:rPr>
        <w:t xml:space="preserve">Dr. Samantha Kimball, with over 100 peer-reviewed papers and two decades in the field, designed the Minimal Erythemal Dose protocol that governs every Enyrgy session, so the safety standard is grounded in medical science rather than engineering assumption.</w:t>
      </w:r>
      <w:r>
        <w:br/>
      </w:r>
      <w:r>
        <w:br/>
      </w:r>
      <w:r>
        <w:rPr>
          <w:rStyle w:val="VerbatimChar"/>
        </w:rPr>
        <w:t xml:space="preserve">This is the part that separates a real instrument from a wellness gadget: the dosing, calibrated to your skin type through BioCalibrated Sunshine(TM), rests on the work of people who define the field.</w:t>
      </w:r>
      <w:r>
        <w:br/>
      </w:r>
      <w:r>
        <w:br/>
      </w:r>
      <w:r>
        <w:rPr>
          <w:rStyle w:val="VerbatimChar"/>
        </w:rPr>
        <w:t xml:space="preserve">See the platform</w:t>
      </w:r>
      <w:r>
        <w:br/>
      </w:r>
      <w:r>
        <w:br/>
      </w:r>
      <w:r>
        <w:rPr>
          <w:rStyle w:val="VerbatimChar"/>
        </w:rPr>
        <w:t xml:space="preserve">{{custom_values.standard_signature}}</w:t>
      </w:r>
    </w:p>
    <w:p>
      <w:pPr>
        <w:pStyle w:val="FirstParagraph"/>
      </w:pPr>
      <w:r>
        <w:rPr>
          <w:b/>
          <w:bCs/>
        </w:rPr>
        <w:t xml:space="preserve">RESOLVED BY ADDING TO THE KB, NOT BY TRIMMING.</w:t>
      </w:r>
      <w:r>
        <w:t xml:space="preserve"> </w:t>
      </w:r>
      <w:r>
        <w:t xml:space="preserve">Four credential claims here were absent from the KB’s approved advisor bios, which forbid embellishment: Hollis forty years, Grant 350+ papers, Kimball 100+ papers and two decades. All confirmed by Scott and added to KB Section 5 on 2026-08-02.</w:t>
      </w:r>
    </w:p>
    <w:p>
      <w:pPr>
        <w:pStyle w:val="BodyText"/>
      </w:pPr>
      <w:r>
        <w:t xml:space="preserve">Added rather than cut because the specificity is what makes this email work.</w:t>
      </w:r>
      <w:r>
        <w:t xml:space="preserve"> </w:t>
      </w:r>
      <w:r>
        <w:t xml:space="preserve">“More than 350 peer-reviewed papers”</w:t>
      </w:r>
      <w:r>
        <w:t xml:space="preserve"> </w:t>
      </w:r>
      <w:r>
        <w:t xml:space="preserve">establishes that real researchers built the protocol in a way</w:t>
      </w:r>
      <w:r>
        <w:t xml:space="preserve"> </w:t>
      </w:r>
      <w:r>
        <w:t xml:space="preserve">“NASA UVB researcher”</w:t>
      </w:r>
      <w:r>
        <w:t xml:space="preserve"> </w:t>
      </w:r>
      <w:r>
        <w:t xml:space="preserve">does not, and that is the entire job of the email. Trimming to satisfy the rule would have gutted the best thing about it.</w:t>
      </w:r>
    </w:p>
    <w:p>
      <w:r>
        <w:pict>
          <v:rect style="width:0;height:1.5pt" o:hralign="center" o:hrstd="t" o:hr="t"/>
        </w:pict>
      </w:r>
    </w:p>
    <w:bookmarkEnd w:id="14"/>
    <w:bookmarkStart w:id="15" w:name="touch-7-day-54-email"/>
    <w:p>
      <w:pPr>
        <w:pStyle w:val="Heading2"/>
      </w:pPr>
      <w:r>
        <w:t xml:space="preserve">Touch 7 | Day 54 | Email</w:t>
      </w:r>
    </w:p>
    <w:p>
      <w:pPr>
        <w:pStyle w:val="FirstParagraph"/>
      </w:pPr>
      <w:r>
        <w:rPr>
          <w:b/>
          <w:bCs/>
        </w:rPr>
        <w:t xml:space="preserve">Subject:</w:t>
      </w:r>
      <w:r>
        <w:t xml:space="preserve"> </w:t>
      </w:r>
      <w:r>
        <w:t xml:space="preserve">Run it on your own labs</w:t>
      </w:r>
    </w:p>
    <w:p>
      <w:pPr>
        <w:pStyle w:val="BodyText"/>
      </w:pPr>
      <w:r>
        <w:rPr>
          <w:b/>
          <w:bCs/>
        </w:rPr>
        <w:t xml:space="preserve">Body:</w:t>
      </w:r>
    </w:p>
    <w:p>
      <w:pPr>
        <w:pStyle w:val="SourceCode"/>
      </w:pPr>
      <w:r>
        <w:rPr>
          <w:rStyle w:val="VerbatimChar"/>
        </w:rPr>
        <w:t xml:space="preserve">I will keep this one short, because by now you have the mechanism, the numbers, the math, and the people behind it. There is nothing left for me to explain. There is only the thing I keep coming back to, because it is the most honest offer I can make.</w:t>
      </w:r>
      <w:r>
        <w:br/>
      </w:r>
      <w:r>
        <w:br/>
      </w:r>
      <w:r>
        <w:rPr>
          <w:rStyle w:val="VerbatimChar"/>
        </w:rPr>
        <w:t xml:space="preserve">Do not take my word for any of it. Take your own labs.</w:t>
      </w:r>
      <w:r>
        <w:br/>
      </w:r>
      <w:r>
        <w:br/>
      </w:r>
      <w:r>
        <w:rPr>
          <w:rStyle w:val="VerbatimChar"/>
        </w:rPr>
        <w:t xml:space="preserve">Get a baseline vitamin D test. Run the protocol four to six times a week, two to four minutes a session, dosed to your skin type. Retest at eight to twelve weeks. You will have a before and an after on your own body, not on five strangers in a cohort study, not in my marketing copy. Yours.</w:t>
      </w:r>
      <w:r>
        <w:br/>
      </w:r>
      <w:r>
        <w:br/>
      </w:r>
      <w:r>
        <w:rPr>
          <w:rStyle w:val="VerbatimChar"/>
        </w:rPr>
        <w:t xml:space="preserve">Two separate things worth keeping straight. The labs are your long-term proof and they take a couple of months to show you anything. The 30-day money-back guarantee is a different decision entirely: if the platform is not for you, send it back inside 30 days. You do not have to wait for lab results to make that call.</w:t>
      </w:r>
      <w:r>
        <w:br/>
      </w:r>
      <w:r>
        <w:br/>
      </w:r>
      <w:r>
        <w:rPr>
          <w:rStyle w:val="VerbatimChar"/>
        </w:rPr>
        <w:t xml:space="preserve">That is the whole pitch. Not "trust us." Run the experiment on yourself and trust the result.</w:t>
      </w:r>
      <w:r>
        <w:br/>
      </w:r>
      <w:r>
        <w:br/>
      </w:r>
      <w:r>
        <w:rPr>
          <w:rStyle w:val="VerbatimChar"/>
        </w:rPr>
        <w:t xml:space="preserve">Learn about the platform   |  Get yours</w:t>
      </w:r>
      <w:r>
        <w:br/>
      </w:r>
      <w:r>
        <w:br/>
      </w:r>
      <w:r>
        <w:rPr>
          <w:rStyle w:val="VerbatimChar"/>
        </w:rPr>
        <w:t xml:space="preserve">{{custom_values.standard_signature}}</w:t>
      </w:r>
    </w:p>
    <w:p>
      <w:pPr>
        <w:pStyle w:val="FirstParagraph"/>
      </w:pPr>
      <w:r>
        <w:rPr>
          <w:b/>
          <w:bCs/>
        </w:rPr>
        <w:t xml:space="preserve">CORRECTED Aug 2.</w:t>
      </w:r>
      <w:r>
        <w:t xml:space="preserve"> </w:t>
      </w:r>
      <w:r>
        <w:t xml:space="preserve">See the guarantee note below.</w:t>
      </w:r>
    </w:p>
    <w:p>
      <w:r>
        <w:pict>
          <v:rect style="width:0;height:1.5pt" o:hralign="center" o:hrstd="t" o:hr="t"/>
        </w:pict>
      </w:r>
    </w:p>
    <w:bookmarkEnd w:id="15"/>
    <w:bookmarkEnd w:id="16"/>
    <w:bookmarkStart w:id="19" w:name="change-log-2026-08-02"/>
    <w:p>
      <w:pPr>
        <w:pStyle w:val="Heading1"/>
      </w:pPr>
      <w:r>
        <w:t xml:space="preserve">Change log, 2026-08-02</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7</w:t>
            </w:r>
          </w:p>
        </w:tc>
        <w:tc>
          <w:tcPr/>
          <w:p>
            <w:pPr>
              <w:pStyle w:val="Compact"/>
            </w:pPr>
            <w:r>
              <w:t xml:space="preserve">Guarantee decoupled from the lab timeline</w:t>
            </w:r>
          </w:p>
        </w:tc>
      </w:tr>
      <w:tr>
        <w:tc>
          <w:tcPr/>
          <w:p>
            <w:pPr>
              <w:pStyle w:val="Compact"/>
            </w:pPr>
            <w:r>
              <w:t xml:space="preserve">2</w:t>
            </w:r>
          </w:p>
        </w:tc>
        <w:tc>
          <w:tcPr/>
          <w:p>
            <w:pPr>
              <w:pStyle w:val="Compact"/>
            </w:pPr>
            <w:r>
              <w:t xml:space="preserve">4</w:t>
            </w:r>
          </w:p>
        </w:tc>
        <w:tc>
          <w:tcPr/>
          <w:p>
            <w:pPr>
              <w:pStyle w:val="Compact"/>
            </w:pPr>
            <w:r>
              <w:t xml:space="preserve">Same decoupling, plus the retest timing the email was missing</w:t>
            </w:r>
          </w:p>
        </w:tc>
      </w:tr>
      <w:tr>
        <w:tc>
          <w:tcPr/>
          <w:p>
            <w:pPr>
              <w:pStyle w:val="Compact"/>
            </w:pPr>
            <w:r>
              <w:t xml:space="preserve">3</w:t>
            </w:r>
          </w:p>
        </w:tc>
        <w:tc>
          <w:tcPr/>
          <w:p>
            <w:pPr>
              <w:pStyle w:val="Compact"/>
            </w:pPr>
            <w:r>
              <w:t xml:space="preserve">6</w:t>
            </w:r>
          </w:p>
        </w:tc>
        <w:tc>
          <w:tcPr/>
          <w:p>
            <w:pPr>
              <w:pStyle w:val="Compact"/>
            </w:pPr>
            <w:r>
              <w:t xml:space="preserve">No change to copy. Four advisor credential claims confirmed and added to KB Section 5 instead</w:t>
            </w:r>
          </w:p>
        </w:tc>
      </w:tr>
    </w:tbl>
    <w:bookmarkStart w:id="17" w:name="Xa7785b9097af37b51a2db21d1045ac8d9a1eca9"/>
    <w:p>
      <w:pPr>
        <w:pStyle w:val="Heading2"/>
      </w:pPr>
      <w:r>
        <w:t xml:space="preserve">The guarantee and lab timeline were recoupled here</w:t>
      </w:r>
    </w:p>
    <w:p>
      <w:pPr>
        <w:pStyle w:val="FirstParagraph"/>
      </w:pPr>
      <w:r>
        <w:t xml:space="preserve">The Session 14 audit recorded this and declared it decoupled everywhere:</w:t>
      </w:r>
    </w:p>
    <w:p>
      <w:pPr>
        <w:pStyle w:val="BlockText"/>
      </w:pPr>
      <w:r>
        <w:rPr>
          <w:b/>
          <w:bCs/>
        </w:rPr>
        <w:t xml:space="preserve">Guarantee vs lab-timeline contradiction:</w:t>
      </w:r>
      <w:r>
        <w:t xml:space="preserve"> </w:t>
      </w:r>
      <w:r>
        <w:t xml:space="preserve">several emails tied the 30-day money-back window to an 8-to-12-week lab retest (</w:t>
      </w:r>
      <w:r>
        <w:t xml:space="preserve">“risk only a lab fee”</w:t>
      </w:r>
      <w:r>
        <w:t xml:space="preserve">), which is impossible inside 30 days. Decoupled into two separate beats everywhere: labs are your own long-term proof, the 30-day guarantee is an independent keep-or-return decision.</w:t>
      </w:r>
    </w:p>
    <w:p>
      <w:pPr>
        <w:pStyle w:val="FirstParagraph"/>
      </w:pPr>
      <w:r>
        <w:rPr>
          <w:b/>
          <w:bCs/>
        </w:rPr>
        <w:t xml:space="preserve">Touch 7 still carried it</w:t>
      </w:r>
      <w:r>
        <w:t xml:space="preserve">, almost in the flagged words:</w:t>
      </w:r>
      <w:r>
        <w:t xml:space="preserve"> </w:t>
      </w:r>
      <w:r>
        <w:rPr>
          <w:i/>
          <w:iCs/>
        </w:rPr>
        <w:t xml:space="preserve">“Retest at eight to twelve weeks… The 30-day money-back guarantee exists so the only thing you genuinely risk is the cost of a lab test.”</w:t>
      </w:r>
      <w:r>
        <w:t xml:space="preserve"> </w:t>
      </w:r>
      <w:r>
        <w:t xml:space="preserve">A reader following that instruction returns at week ten to find the window closed six weeks earlier.</w:t>
      </w:r>
    </w:p>
    <w:p>
      <w:pPr>
        <w:pStyle w:val="BodyText"/>
      </w:pPr>
      <w:r>
        <w:rPr>
          <w:b/>
          <w:bCs/>
        </w:rPr>
        <w:t xml:space="preserve">Touch 4 carried it more compactly:</w:t>
      </w:r>
      <w:r>
        <w:t xml:space="preserve"> </w:t>
      </w:r>
      <w:r>
        <w:rPr>
          <w:i/>
          <w:iCs/>
        </w:rPr>
        <w:t xml:space="preserve">“a 30-day money-back guarantee built precisely so you can test it against your own labs. Baseline before, retest after, decide on data.”</w:t>
      </w:r>
    </w:p>
    <w:p>
      <w:pPr>
        <w:pStyle w:val="BodyText"/>
      </w:pPr>
      <w:r>
        <w:t xml:space="preserve">WF-17 looks like where the error originally lived. The fix either never landed here or was reverted.</w:t>
      </w:r>
    </w:p>
    <w:p>
      <w:pPr>
        <w:pStyle w:val="BodyText"/>
      </w:pPr>
      <w:r>
        <w:rPr>
          <w:b/>
          <w:bCs/>
        </w:rPr>
        <w:t xml:space="preserve">This is the second time in one session that a Session 14 correction declared</w:t>
      </w:r>
      <w:r>
        <w:rPr>
          <w:b/>
          <w:bCs/>
        </w:rPr>
        <w:t xml:space="preserve"> </w:t>
      </w:r>
      <w:r>
        <w:rPr>
          <w:b/>
          <w:bCs/>
        </w:rPr>
        <w:t xml:space="preserve">“fixed everywhere”</w:t>
      </w:r>
      <w:r>
        <w:rPr>
          <w:b/>
          <w:bCs/>
        </w:rPr>
        <w:t xml:space="preserve"> </w:t>
      </w:r>
      <w:r>
        <w:rPr>
          <w:b/>
          <w:bCs/>
        </w:rPr>
        <w:t xml:space="preserve">turned out to have missed a workflow.</w:t>
      </w:r>
      <w:r>
        <w:t xml:space="preserve"> </w:t>
      </w:r>
      <w:r>
        <w:t xml:space="preserve">The first was the accreditation gate surviving in the Investor Warm drip. Both were found only by extracting the copy and reading it, which is the argument for finishing this backup rather than sampling it.</w:t>
      </w:r>
    </w:p>
    <w:bookmarkEnd w:id="17"/>
    <w:bookmarkStart w:id="18" w:name="nothing-open"/>
    <w:p>
      <w:pPr>
        <w:pStyle w:val="Heading2"/>
      </w:pPr>
      <w:r>
        <w:t xml:space="preserve">Nothing open</w:t>
      </w:r>
    </w:p>
    <w:p>
      <w:pPr>
        <w:pStyle w:val="FirstParagraph"/>
      </w:pPr>
      <w:r>
        <w:t xml:space="preserve">All three changes are live in GHL as of 2026-08-02, including the bullet-glyph normalisation in touch 2. GHL and this file match.</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2026-08-03T16:29:22Z</dcterms:created>
  <dcterms:modified xsi:type="dcterms:W3CDTF">2026-08-03T16:29:22Z</dcterms:modified>
</cp:coreProperties>
</file>

<file path=docProps/custom.xml><?xml version="1.0" encoding="utf-8"?>
<Properties xmlns="http://schemas.openxmlformats.org/officeDocument/2006/custom-properties" xmlns:vt="http://schemas.openxmlformats.org/officeDocument/2006/docPropsVTypes"/>
</file>