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wf-21-vitamin-d-assessment-capture"/>
    <w:p>
      <w:pPr>
        <w:pStyle w:val="Heading1"/>
      </w:pPr>
      <w:r>
        <w:t xml:space="preserve">WF-21 Vitamin D Assessment Capture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Inbound Webhook from the Vitamin D Assessment page (</w:t>
      </w:r>
      <w:r>
        <w:rPr>
          <w:rStyle w:val="VerbatimChar"/>
        </w:rPr>
        <w:t xml:space="preserve">go.enyrgy.com/vitamin-d-assessment</w:t>
      </w:r>
      <w:r>
        <w:t xml:space="preserve">)</w:t>
      </w:r>
      <w:r>
        <w:t xml:space="preserve"> </w:t>
      </w:r>
      <w:r>
        <w:rPr>
          <w:b/>
          <w:bCs/>
        </w:rPr>
        <w:t xml:space="preserve">Touches:</w:t>
      </w:r>
      <w:r>
        <w:t xml:space="preserve"> </w:t>
      </w:r>
      <w:r>
        <w:t xml:space="preserve">1 email, the assessment results email, sent Day 1</w:t>
      </w:r>
      <w:r>
        <w:t xml:space="preserve"> </w:t>
      </w:r>
      <w:r>
        <w:rPr>
          <w:b/>
          <w:bCs/>
        </w:rPr>
        <w:t xml:space="preserve">Also does:</w:t>
      </w:r>
      <w:r>
        <w:t xml:space="preserve"> </w:t>
      </w:r>
      <w:r>
        <w:t xml:space="preserve">creates the contact with 11 mapped fields, applies six always-on tags via a Standard Add Tag and the page’s conditional tags via a Dynamic Add Tag, and writes Deficiency Risk Score and Deficiency Risk Band</w:t>
      </w:r>
      <w:r>
        <w:t xml:space="preserve"> </w:t>
      </w:r>
      <w:r>
        <w:rPr>
          <w:b/>
          <w:bCs/>
        </w:rPr>
        <w:t xml:space="preserve">Hands to:</w:t>
      </w:r>
      <w:r>
        <w:t xml:space="preserve"> </w:t>
      </w:r>
      <w:r>
        <w:t xml:space="preserve">WF-22 Vitamin D Assessment Nurture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2026-08-03, with two corrections applied.</w:t>
      </w:r>
    </w:p>
    <w:p>
      <w:r>
        <w:pict>
          <v:rect style="width:0;height:1.5pt" o:hralign="center" o:hrstd="t" o:hr="t"/>
        </w:pict>
      </w:r>
    </w:p>
    <w:bookmarkStart w:id="9" w:name="touch-1-day-1-email"/>
    <w:p>
      <w:pPr>
        <w:pStyle w:val="Heading2"/>
      </w:pPr>
      <w:r>
        <w:t xml:space="preserve">Touch 1 | Day 1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vitamin D assessment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{{contact.first_name}}</w:t>
      </w:r>
      <w:r>
        <w:br/>
      </w:r>
      <w:r>
        <w:br/>
      </w:r>
      <w:r>
        <w:rPr>
          <w:rStyle w:val="VerbatimChar"/>
        </w:rPr>
        <w:t xml:space="preserve">You just answered a few honest questions about your light, your skin, and your labs. Here is what they add up to.</w:t>
      </w:r>
      <w:r>
        <w:br/>
      </w:r>
      <w:r>
        <w:br/>
      </w:r>
      <w:r>
        <w:rPr>
          <w:rStyle w:val="VerbatimChar"/>
        </w:rPr>
        <w:t xml:space="preserve">Your deficiency risk came out {{inboundWebhookRequest.deficiency_risk_band}}. That is based on how much real daylight you actually get, your skin type, and what your labs have been telling you.</w:t>
      </w:r>
      <w:r>
        <w:br/>
      </w:r>
      <w:r>
        <w:br/>
      </w:r>
      <w:r>
        <w:rPr>
          <w:rStyle w:val="VerbatimChar"/>
        </w:rPr>
        <w:t xml:space="preserve">Your body was built to make vitamin D from light on skin, not from a capsule in your gut. When you come up short on the light, a supplement can only carry part of the load, and the rest of what sunlight does never happens.</w:t>
      </w:r>
      <w:r>
        <w:br/>
      </w:r>
      <w:r>
        <w:br/>
      </w:r>
      <w:r>
        <w:rPr>
          <w:rStyle w:val="VerbatimChar"/>
        </w:rPr>
        <w:t xml:space="preserve">Here is the part almost nobody knows. A supplement can feed one road to nitric oxide, the enzyme road. Light opens a second road a pill cannot reach, releasing the nitric oxide your skin has already stored. That road is pure upside. The same few minutes of the right light also drive vitamin D and serotonin. One session, three pathways.</w:t>
      </w:r>
      <w:r>
        <w:br/>
      </w:r>
      <w:r>
        <w:br/>
      </w:r>
      <w:r>
        <w:rPr>
          <w:rStyle w:val="VerbatimChar"/>
        </w:rPr>
        <w:t xml:space="preserve">We ran a small 12-week study on the platform that does this. Five people, four to six sessions a week. Average vitamin D went from 39.96 to 84.20 ng/mL, and every one of them reached optimal. Small study, real labs, zero adverse events.</w:t>
      </w:r>
      <w:r>
        <w:br/>
      </w:r>
      <w:r>
        <w:br/>
      </w:r>
      <w:r>
        <w:rPr>
          <w:rStyle w:val="VerbatimChar"/>
        </w:rPr>
        <w:t xml:space="preserve">If you want to see how it works and what it would take to close your own gap, start here:</w:t>
      </w:r>
      <w:r>
        <w:br/>
      </w:r>
      <w:r>
        <w:rPr>
          <w:rStyle w:val="VerbatimChar"/>
        </w:rPr>
        <w:t xml:space="preserve">The Enyrgy Platform</w:t>
      </w:r>
      <w:r>
        <w:br/>
      </w:r>
      <w:r>
        <w:br/>
      </w:r>
      <w:r>
        <w:rPr>
          <w:rStyle w:val="VerbatimChar"/>
        </w:rPr>
        <w:t xml:space="preserve">Still have questions? Grab a quick call:</w:t>
      </w:r>
      <w:r>
        <w:br/>
      </w:r>
      <w:r>
        <w:rPr>
          <w:rStyle w:val="VerbatimChar"/>
        </w:rPr>
        <w:t xml:space="preserve">Book a call</w:t>
      </w:r>
      <w:r>
        <w:br/>
      </w:r>
      <w:r>
        <w:br/>
      </w:r>
      <w:r>
        <w:rPr>
          <w:rStyle w:val="VerbatimChar"/>
        </w:rPr>
        <w:t xml:space="preserve">Prefer to talk it through first? Reply to this email. A real person reads it.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Links:</w:t>
      </w:r>
      <w:r>
        <w:t xml:space="preserve"> </w:t>
      </w:r>
      <w:r>
        <w:rPr>
          <w:rStyle w:val="VerbatimChar"/>
        </w:rPr>
        <w:t xml:space="preserve">The Enyrgy Platform</w:t>
      </w:r>
      <w:r>
        <w:t xml:space="preserve"> </w:t>
      </w:r>
      <w:r>
        <w:t xml:space="preserve">-&gt; order page.</w:t>
      </w:r>
      <w:r>
        <w:t xml:space="preserve"> </w:t>
      </w:r>
      <w:r>
        <w:rPr>
          <w:rStyle w:val="VerbatimChar"/>
        </w:rPr>
        <w:t xml:space="preserve">Book a call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Consumer Discovery</w:t>
      </w:r>
    </w:p>
    <w:p>
      <w:pPr>
        <w:pStyle w:val="BodyText"/>
      </w:pPr>
      <w:r>
        <w:rPr>
          <w:b/>
          <w:bCs/>
        </w:rPr>
        <w:t xml:space="preserve">CORRECTED Aug 3, twice.</w:t>
      </w:r>
      <w:r>
        <w:t xml:space="preserve"> </w:t>
      </w:r>
      <w:r>
        <w:t xml:space="preserve">The risk band added,</w:t>
      </w:r>
      <w:r>
        <w:t xml:space="preserve"> </w:t>
      </w:r>
      <w:r>
        <w:t xml:space="preserve">“no pressure”</w:t>
      </w:r>
      <w:r>
        <w:t xml:space="preserve"> </w:t>
      </w:r>
      <w:r>
        <w:t xml:space="preserve">removed. See the change log.</w:t>
      </w:r>
    </w:p>
    <w:p>
      <w:pPr>
        <w:pStyle w:val="BodyText"/>
      </w:pPr>
      <w:r>
        <w:rPr>
          <w:b/>
          <w:bCs/>
        </w:rPr>
        <w:t xml:space="preserve">Checked:</w:t>
      </w:r>
      <w:r>
        <w:t xml:space="preserve"> </w:t>
      </w:r>
      <w:r>
        <w:t xml:space="preserve">the nitric oxide framing is correct. It grants that a supplement feeds the enzymatic road, then confines the claim to photorelease from preformed skin stores, which is what the KB rule requires. The study is disclosed as five people with</w:t>
      </w:r>
      <w:r>
        <w:t xml:space="preserve"> </w:t>
      </w:r>
      <w:r>
        <w:t xml:space="preserve">“small study”</w:t>
      </w:r>
      <w:r>
        <w:t xml:space="preserve"> </w:t>
      </w:r>
      <w:r>
        <w:t xml:space="preserve">stated.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inboundWebhookRequest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contact</w:t>
      </w:r>
      <w:r>
        <w:rPr>
          <w:b/>
          <w:bCs/>
        </w:rPr>
        <w:t xml:space="preserve">.</w:t>
      </w:r>
      <w:r>
        <w:t xml:space="preserve"> </w:t>
      </w:r>
      <w:r>
        <w:t xml:space="preserve">The payload reference is readable the instant the workflow fires. A</w:t>
      </w:r>
      <w:r>
        <w:t xml:space="preserve"> </w:t>
      </w:r>
      <w:r>
        <w:rPr>
          <w:rStyle w:val="VerbatimChar"/>
        </w:rPr>
        <w:t xml:space="preserve">contact.</w:t>
      </w:r>
      <w:r>
        <w:t xml:space="preserve"> </w:t>
      </w:r>
      <w:r>
        <w:t xml:space="preserve">reference depends on the field write having completed, which is the race condition that broke FlexOffers refid capture and forced the WF-31 rebuild. In a workflow triggered by the webhook itself, always prefer the payload.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change-log-2026-08-03"/>
    <w:p>
      <w:pPr>
        <w:pStyle w:val="Heading1"/>
      </w:pPr>
      <w:r>
        <w:t xml:space="preserve">Change log, 2026-08-03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Added the reader’s Deficiency Risk Band. The email promised a result and never gave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t xml:space="preserve">“no pressure”</w:t>
            </w:r>
            <w:r>
              <w:t xml:space="preserve">, a Never-list phrase</w:t>
            </w:r>
          </w:p>
        </w:tc>
      </w:tr>
    </w:tbl>
    <w:bookmarkStart w:id="11" w:name="the-results-email-had-no-results"/>
    <w:p>
      <w:pPr>
        <w:pStyle w:val="Heading2"/>
      </w:pPr>
      <w:r>
        <w:t xml:space="preserve">The results email had no results</w:t>
      </w:r>
    </w:p>
    <w:p>
      <w:pPr>
        <w:pStyle w:val="FirstParagraph"/>
      </w:pPr>
      <w:r>
        <w:t xml:space="preserve">It opened</w:t>
      </w:r>
      <w:r>
        <w:t xml:space="preserve"> </w:t>
      </w:r>
      <w:r>
        <w:t xml:space="preserve">“Here is what they add up to”</w:t>
      </w:r>
      <w:r>
        <w:t xml:space="preserve"> </w:t>
      </w:r>
      <w:r>
        <w:t xml:space="preserve">and then delivered identical text to everyone, regardless of what they answered.</w:t>
      </w:r>
    </w:p>
    <w:p>
      <w:pPr>
        <w:pStyle w:val="BodyText"/>
      </w:pPr>
      <w:r>
        <w:rPr>
          <w:b/>
          <w:bCs/>
        </w:rPr>
        <w:t xml:space="preserve">The data was already there.</w:t>
      </w:r>
      <w:r>
        <w:t xml:space="preserve"> </w:t>
      </w:r>
      <w:r>
        <w:t xml:space="preserve">WF-21 writes Deficiency Risk Score and Deficiency Risk Band at capture. Both were sitting unused while the email made a promise it did not keep.</w:t>
      </w:r>
    </w:p>
    <w:p>
      <w:pPr>
        <w:pStyle w:val="BodyText"/>
      </w:pPr>
      <w:r>
        <w:t xml:space="preserve">Someone who has just completed an assessment and been told they are about to see their result instead receives a brochure. That gap between the subject line and the body is the widest in the funnel, and it was one merge field away from closing.</w:t>
      </w:r>
    </w:p>
    <w:bookmarkEnd w:id="11"/>
    <w:bookmarkStart w:id="12" w:name="worth-considering-not-done"/>
    <w:p>
      <w:pPr>
        <w:pStyle w:val="Heading2"/>
      </w:pPr>
      <w:r>
        <w:t xml:space="preserve">Worth considering, not done</w:t>
      </w:r>
    </w:p>
    <w:p>
      <w:pPr>
        <w:pStyle w:val="FirstParagraph"/>
      </w:pPr>
      <w:r>
        <w:t xml:space="preserve">With the band now available in the email, the copy could branch on it. A high-risk reader and a low-risk reader need different next sentences and currently get the same one. That is a bigger change than a merge field, so this was done first to see whether it is enough.</w:t>
      </w:r>
    </w:p>
    <w:bookmarkEnd w:id="12"/>
    <w:bookmarkStart w:id="13" w:name="minor-left-alone"/>
    <w:p>
      <w:pPr>
        <w:pStyle w:val="Heading2"/>
      </w:pPr>
      <w:r>
        <w:t xml:space="preserve">Minor, left alone</w:t>
      </w:r>
    </w:p>
    <w:p>
      <w:pPr>
        <w:pStyle w:val="FirstParagraph"/>
      </w:pPr>
      <w:r>
        <w:t xml:space="preserve">The greeting is</w:t>
      </w:r>
      <w:r>
        <w:t xml:space="preserve"> </w:t>
      </w:r>
      <w:r>
        <w:rPr>
          <w:rStyle w:val="VerbatimChar"/>
        </w:rPr>
        <w:t xml:space="preserve">{{contact.first_name}}</w:t>
      </w:r>
      <w:r>
        <w:t xml:space="preserve"> </w:t>
      </w:r>
      <w:r>
        <w:t xml:space="preserve">with no comma. Every other email in the funnel uses a comma or</w:t>
      </w:r>
      <w:r>
        <w:t xml:space="preserve"> </w:t>
      </w:r>
      <w:r>
        <w:t xml:space="preserve">“Hi”</w:t>
      </w:r>
      <w:r>
        <w:t xml:space="preserve">. It is the first line the reader sees.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2026-08-03T16:29:21Z</dcterms:created>
  <dcterms:modified xsi:type="dcterms:W3CDTF">2026-08-03T16:29:21Z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