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3e7be5f3806d5cf11da58ecc983a07d0af277ac"/>
    <w:p>
      <w:pPr>
        <w:pStyle w:val="Heading2"/>
      </w:pPr>
      <w:r>
        <w:t xml:space="preserve">4b. Truemed HSA/FSA eligibility (started August 1, 2026 —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determination: ANSWERED by Truemed, August 2026. NOT eligible.</w:t>
      </w:r>
      <w:r>
        <w:t xml:space="preserve"> </w:t>
      </w:r>
      <w:r>
        <w:t xml:space="preserve">The facility and commercial path does not qualify at all. A member may not apply HSA/FSA to a membership or session fees,</w:t>
      </w:r>
      <w:r>
        <w:t xml:space="preserve"> </w:t>
      </w:r>
      <w:r>
        <w:rPr>
          <w:b/>
          <w:bCs/>
        </w:rPr>
        <w:t xml:space="preserve">and a unit bought through a facility does not qualify either.</w:t>
      </w:r>
      <w:r>
        <w:t xml:space="preserve"> </w:t>
      </w:r>
      <w:r>
        <w:t xml:space="preserve">Eligibility is the direct consumer purchase of the Consumer Unit only. Recorded in KB §3, which now instructs agents to answer plainly rather than escalate.</w:t>
      </w:r>
    </w:p>
    <w:p>
      <w:pPr>
        <w:pStyle w:val="Compact"/>
        <w:numPr>
          <w:ilvl w:val="1"/>
          <w:numId w:val="1058"/>
        </w:numPr>
      </w:pPr>
      <w:r>
        <w:rPr>
          <w:b/>
          <w:bCs/>
        </w:rPr>
        <w:t xml:space="preserve">Consequence: the commercial channel angle is dead.</w:t>
      </w:r>
      <w:r>
        <w:t xml:space="preserve"> </w:t>
      </w:r>
      <w:r>
        <w:t xml:space="preserve">The draft WF-07 copy exploring</w:t>
      </w:r>
      <w:r>
        <w:t xml:space="preserve"> </w:t>
      </w:r>
      <w:r>
        <w:t xml:space="preserve">“your members can buy a home unit through you with HSA/FSA”</w:t>
      </w:r>
      <w:r>
        <w:t xml:space="preserve"> </w:t>
      </w:r>
      <w:r>
        <w:t xml:space="preserve">was never applied, and must not be. Do not revive it, and do not offer operators a routing workaround. The open question about operator margin on a resold Consumer Unit is now moot for HSA/FSA purposes, though it may still matter commercially.</w:t>
      </w:r>
    </w:p>
    <w:p>
      <w:pPr>
        <w:pStyle w:val="Compact"/>
        <w:numPr>
          <w:ilvl w:val="1"/>
          <w:numId w:val="1058"/>
        </w:numPr>
      </w:pPr>
      <w:r>
        <w:t xml:space="preserve">Relevant to the Beyond Wellness conversation with Gino: the honest answer to the HSA question there is no.</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9"/>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60"/>
        </w:numPr>
      </w:pPr>
      <w:r>
        <w:rPr>
          <w:b/>
          <w:bCs/>
        </w:rPr>
        <w:t xml:space="preserve">Four GHL workflows created and left in Draft</w:t>
      </w:r>
      <w:r>
        <w:t xml:space="preserve">, each with a mapping reference captured from a sample payload: WF-32, WF-32T, WF-33, WF-33T.</w:t>
      </w:r>
    </w:p>
    <w:p>
      <w:pPr>
        <w:pStyle w:val="Compact"/>
        <w:numPr>
          <w:ilvl w:val="0"/>
          <w:numId w:val="1061"/>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2"/>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2"/>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2"/>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2"/>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3"/>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4"/>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5"/>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6"/>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7"/>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8"/>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9"/>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70"/>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1"/>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2"/>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3"/>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4"/>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5"/>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5"/>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5"/>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5"/>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5"/>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5"/>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6"/>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6"/>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6"/>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6"/>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6"/>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6"/>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6"/>
        </w:numPr>
      </w:pPr>
      <w:r>
        <w:t xml:space="preserve">☒</w:t>
      </w:r>
      <w:r>
        <w:t xml:space="preserve"> </w:t>
      </w:r>
      <w:r>
        <w:rPr>
          <w:b/>
          <w:bCs/>
        </w:rPr>
        <w:t xml:space="preserve">Spam contacts and their Opportunities deleted.</w:t>
      </w:r>
    </w:p>
    <w:p>
      <w:pPr>
        <w:pStyle w:val="Compact"/>
        <w:numPr>
          <w:ilvl w:val="0"/>
          <w:numId w:val="1076"/>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7"/>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7"/>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6"/>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8"/>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8"/>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8"/>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8"/>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8"/>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8"/>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8"/>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9"/>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0"/>
        </w:numPr>
      </w:pPr>
      <w:r>
        <w:rPr>
          <w:b/>
          <w:bCs/>
        </w:rPr>
        <w:t xml:space="preserve">System-of-record ownership map:</w:t>
      </w:r>
      <w:r>
        <w:t xml:space="preserve"> </w:t>
      </w:r>
      <w:r>
        <w:t xml:space="preserve">ratify the documented SoR (decision/doc task).</w:t>
      </w:r>
    </w:p>
    <w:p>
      <w:pPr>
        <w:pStyle w:val="Compact"/>
        <w:numPr>
          <w:ilvl w:val="0"/>
          <w:numId w:val="1081"/>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2"/>
        </w:numPr>
      </w:pPr>
      <w:r>
        <w:rPr>
          <w:b/>
          <w:bCs/>
        </w:rPr>
        <w:t xml:space="preserve">OEM / Lumanova data boundary:</w:t>
      </w:r>
      <w:r>
        <w:t xml:space="preserve"> </w:t>
      </w:r>
      <w:r>
        <w:t xml:space="preserve">formalize an auditable path as the partner program grows.</w:t>
      </w:r>
    </w:p>
    <w:p>
      <w:pPr>
        <w:pStyle w:val="Compact"/>
        <w:numPr>
          <w:ilvl w:val="0"/>
          <w:numId w:val="1083"/>
        </w:numPr>
      </w:pPr>
      <w:r>
        <w:rPr>
          <w:b/>
          <w:bCs/>
        </w:rPr>
        <w:t xml:space="preserve">Metric governance owner:</w:t>
      </w:r>
      <w:r>
        <w:t xml:space="preserve"> </w:t>
      </w:r>
      <w:r>
        <w:t xml:space="preserve">figures reconciled; assign a single owner.</w:t>
      </w:r>
    </w:p>
    <w:p>
      <w:pPr>
        <w:pStyle w:val="Compact"/>
        <w:numPr>
          <w:ilvl w:val="0"/>
          <w:numId w:val="1084"/>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5"/>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6"/>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7"/>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8"/>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9"/>
        </w:numPr>
      </w:pPr>
      <w:r>
        <w:rPr>
          <w:b/>
          <w:bCs/>
        </w:rPr>
        <w:t xml:space="preserve">Paid acquisition</w:t>
      </w:r>
      <w:r>
        <w:t xml:space="preserve"> </w:t>
      </w:r>
      <w:r>
        <w:t xml:space="preserve">(Meta/Google): after domain warmup finishes.</w:t>
      </w:r>
    </w:p>
    <w:p>
      <w:pPr>
        <w:pStyle w:val="Compact"/>
        <w:numPr>
          <w:ilvl w:val="0"/>
          <w:numId w:val="1090"/>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1"/>
        </w:numPr>
      </w:pPr>
      <w:r>
        <w:rPr>
          <w:b/>
          <w:bCs/>
        </w:rPr>
        <w:t xml:space="preserve">Form embeds:</w:t>
      </w:r>
      <w:r>
        <w:t xml:space="preserve"> </w:t>
      </w:r>
      <w:r>
        <w:t xml:space="preserve">Commercial Inquiry + Partner Application forms onto go.enyrgy.com (developer).</w:t>
      </w:r>
    </w:p>
    <w:p>
      <w:pPr>
        <w:pStyle w:val="Compact"/>
        <w:numPr>
          <w:ilvl w:val="0"/>
          <w:numId w:val="1092"/>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3"/>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4"/>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5"/>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5"/>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5"/>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5"/>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6"/>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7"/>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8"/>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9"/>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0"/>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1"/>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2"/>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3"/>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4"/>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5"/>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6"/>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3"/>
  </w:num>
  <w:num w:numId="1058">
    <w:abstractNumId w:val="991"/>
  </w:num>
  <w:num w:numId="1059">
    <w:abstractNumId w:val="993"/>
  </w:num>
  <w:num w:numId="1060">
    <w:abstractNumId w:val="993"/>
  </w:num>
  <w:num w:numId="1061">
    <w:abstractNumId w:val="993"/>
  </w:num>
  <w:num w:numId="1062">
    <w:abstractNumId w:val="991"/>
  </w:num>
  <w:num w:numId="1063">
    <w:abstractNumId w:val="992"/>
  </w:num>
  <w:num w:numId="1064">
    <w:abstractNumId w:val="992"/>
  </w:num>
  <w:num w:numId="1065">
    <w:abstractNumId w:val="992"/>
  </w:num>
  <w:num w:numId="1066">
    <w:abstractNumId w:val="992"/>
  </w:num>
  <w:num w:numId="1067">
    <w:abstractNumId w:val="992"/>
  </w:num>
  <w:num w:numId="1068">
    <w:abstractNumId w:val="993"/>
  </w:num>
  <w:num w:numId="1069">
    <w:abstractNumId w:val="993"/>
  </w:num>
  <w:num w:numId="1070">
    <w:abstractNumId w:val="993"/>
  </w:num>
  <w:num w:numId="1071">
    <w:abstractNumId w:val="993"/>
  </w:num>
  <w:num w:numId="1072">
    <w:abstractNumId w:val="993"/>
  </w:num>
  <w:num w:numId="1073">
    <w:abstractNumId w:val="992"/>
  </w:num>
  <w:num w:numId="1074">
    <w:abstractNumId w:val="993"/>
  </w:num>
  <w:num w:numId="1075">
    <w:abstractNumId w:val="991"/>
  </w:num>
  <w:num w:numId="1076">
    <w:abstractNumId w:val="991"/>
  </w:num>
  <w:num w:numId="1077">
    <w:abstractNumId w:val="991"/>
  </w:num>
  <w:num w:numId="1078">
    <w:abstractNumId w:val="991"/>
  </w:num>
  <w:num w:numId="1079">
    <w:abstractNumId w:val="992"/>
  </w:num>
  <w:num w:numId="1080">
    <w:abstractNumId w:val="992"/>
  </w:num>
  <w:num w:numId="1081">
    <w:abstractNumId w:val="992"/>
  </w:num>
  <w:num w:numId="1082">
    <w:abstractNumId w:val="992"/>
  </w:num>
  <w:num w:numId="1083">
    <w:abstractNumId w:val="992"/>
  </w:num>
  <w:num w:numId="1084">
    <w:abstractNumId w:val="993"/>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3"/>
  </w:num>
  <w:num w:numId="1094">
    <w:abstractNumId w:val="993"/>
  </w:num>
  <w:num w:numId="1095">
    <w:abstractNumId w:val="991"/>
  </w:num>
  <w:num w:numId="1096">
    <w:abstractNumId w:val="993"/>
  </w:num>
  <w:num w:numId="1097">
    <w:abstractNumId w:val="993"/>
  </w:num>
  <w:num w:numId="1098">
    <w:abstractNumId w:val="992"/>
  </w:num>
  <w:num w:numId="1099">
    <w:abstractNumId w:val="993"/>
  </w:num>
  <w:num w:numId="1100">
    <w:abstractNumId w:val="993"/>
  </w:num>
  <w:num w:numId="1101">
    <w:abstractNumId w:val="993"/>
  </w:num>
  <w:num w:numId="1102">
    <w:abstractNumId w:val="993"/>
  </w:num>
  <w:num w:numId="1103">
    <w:abstractNumId w:val="993"/>
  </w:num>
  <w:num w:numId="1104">
    <w:abstractNumId w:val="993"/>
  </w:num>
  <w:num w:numId="1105">
    <w:abstractNumId w:val="992"/>
  </w:num>
  <w:num w:numId="11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2026-08-15T00:23:47Z</dcterms:created>
  <dcterms:modified xsi:type="dcterms:W3CDTF">2026-08-15T00:23:47Z</dcterms:modified>
</cp:coreProperties>
</file>

<file path=docProps/custom.xml><?xml version="1.0" encoding="utf-8"?>
<Properties xmlns="http://schemas.openxmlformats.org/officeDocument/2006/custom-properties" xmlns:vt="http://schemas.openxmlformats.org/officeDocument/2006/docPropsVTypes"/>
</file>