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NOT eligible. Confirmed by Truemed, August 2026.</w:t>
      </w:r>
      <w:r>
        <w:t xml:space="preserve"> </w:t>
      </w:r>
      <w:r>
        <w:t xml:space="preserve">A member may NOT use HSA/FSA toward a membership or session fees that include Enyrgy access, and a unit bought through a facility does not qualify either. HSA/FSA covers the</w:t>
      </w:r>
      <w:r>
        <w:t xml:space="preserve"> </w:t>
      </w:r>
      <w:r>
        <w:rPr>
          <w:b/>
          <w:bCs/>
        </w:rPr>
        <w:t xml:space="preserve">direct consumer purchase of the Consumer Unit only</w:t>
      </w:r>
      <w:r>
        <w:t xml:space="preserve">. If a facility operator or one of their members asks, say so plainly and do not offer a workaround or a routing suggestion. The direct consumer rules above are unaffected.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determines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2026-08-15T00:23:47Z</dcterms:created>
  <dcterms:modified xsi:type="dcterms:W3CDTF">2026-08-15T00:23:47Z</dcterms:modified>
</cp:coreProperties>
</file>

<file path=docProps/custom.xml><?xml version="1.0" encoding="utf-8"?>
<Properties xmlns="http://schemas.openxmlformats.org/officeDocument/2006/custom-properties" xmlns:vt="http://schemas.openxmlformats.org/officeDocument/2006/docPropsVTypes"/>
</file>