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c66d64bb781114ed9b37dd57038f1fb9d81bba5"/>
    <w:p>
      <w:pPr>
        <w:pStyle w:val="Heading1"/>
      </w:pPr>
      <w:r>
        <w:t xml:space="preserve">Investor follow-up: Brian Goldberg, Monroe Street Capital Partners</w:t>
      </w:r>
    </w:p>
    <w:p>
      <w:pPr>
        <w:pStyle w:val="FirstParagraph"/>
      </w:pPr>
      <w:r>
        <w:rPr>
          <w:b/>
          <w:bCs/>
        </w:rPr>
        <w:t xml:space="preserve">Call:</w:t>
      </w:r>
      <w:r>
        <w:t xml:space="preserve"> </w:t>
      </w:r>
      <w:r>
        <w:t xml:space="preserve">August 29, 2026. Introduced by Brian Cameron.</w:t>
      </w:r>
      <w:r>
        <w:t xml:space="preserve"> </w:t>
      </w:r>
      <w:r>
        <w:rPr>
          <w:b/>
          <w:bCs/>
        </w:rPr>
        <w:t xml:space="preserve">Action from the call:</w:t>
      </w:r>
      <w:r>
        <w:t xml:space="preserve"> </w:t>
      </w:r>
      <w:r>
        <w:t xml:space="preserve">send the data room link.</w:t>
      </w:r>
      <w:r>
        <w:t xml:space="preserve"> </w:t>
      </w:r>
      <w:r>
        <w:rPr>
          <w:b/>
          <w:bCs/>
        </w:rPr>
        <w:t xml:space="preserve">Send from:</w:t>
      </w:r>
      <w:r>
        <w:t xml:space="preserve"> </w:t>
      </w:r>
      <w:r>
        <w:t xml:space="preserve">Scott’s own mailbox, not GHL. See the note on the signature below.</w:t>
      </w:r>
    </w:p>
    <w:p>
      <w:r>
        <w:pict>
          <v:rect style="width:0;height:1.5pt" o:hralign="center" o:hrstd="t" o:hr="t"/>
        </w:pict>
      </w:r>
    </w:p>
    <w:p>
      <w:pPr>
        <w:pStyle w:val="FirstParagraph"/>
      </w:pPr>
      <w:r>
        <w:rPr>
          <w:b/>
          <w:bCs/>
        </w:rPr>
        <w:t xml:space="preserve">Subject:</w:t>
      </w:r>
      <w:r>
        <w:t xml:space="preserve"> </w:t>
      </w:r>
      <w:r>
        <w:t xml:space="preserve">Enyrgy data room</w:t>
      </w:r>
    </w:p>
    <w:p>
      <w:pPr>
        <w:pStyle w:val="BodyText"/>
      </w:pPr>
      <w:r>
        <w:rPr>
          <w:b/>
          <w:bCs/>
        </w:rPr>
        <w:t xml:space="preserve">Body:</w:t>
      </w:r>
    </w:p>
    <w:p>
      <w:pPr>
        <w:pStyle w:val="SourceCode"/>
      </w:pPr>
      <w:r>
        <w:rPr>
          <w:rStyle w:val="VerbatimChar"/>
        </w:rPr>
        <w:t xml:space="preserve">Brian,</w:t>
      </w:r>
      <w:r>
        <w:br/>
      </w:r>
      <w:r>
        <w:br/>
      </w:r>
      <w:r>
        <w:rPr>
          <w:rStyle w:val="VerbatimChar"/>
        </w:rPr>
        <w:t xml:space="preserve">Good to meet you this morning, and thank you for the time. Brian has spoken about you for a while, so I was glad the calendars finally lined up.</w:t>
      </w:r>
      <w:r>
        <w:br/>
      </w:r>
      <w:r>
        <w:br/>
      </w:r>
      <w:r>
        <w:rPr>
          <w:rStyle w:val="VerbatimChar"/>
        </w:rPr>
        <w:t xml:space="preserve">Here is the data room:</w:t>
      </w:r>
      <w:r>
        <w:br/>
      </w:r>
      <w:r>
        <w:br/>
      </w:r>
      <w:r>
        <w:rPr>
          <w:rStyle w:val="VerbatimChar"/>
        </w:rPr>
        <w:t xml:space="preserve">https://docsend.com/view/s/79r2dzwqrmiqdpwt</w:t>
      </w:r>
      <w:r>
        <w:br/>
      </w:r>
      <w:r>
        <w:br/>
      </w:r>
      <w:r>
        <w:rPr>
          <w:rStyle w:val="VerbatimChar"/>
        </w:rPr>
        <w:t xml:space="preserve">You said you wanted to move between high level and granular, so rather than leave you to hunt, roughly what is in there:</w:t>
      </w:r>
      <w:r>
        <w:br/>
      </w:r>
      <w:r>
        <w:br/>
      </w:r>
      <w:r>
        <w:rPr>
          <w:rStyle w:val="VerbatimChar"/>
        </w:rPr>
        <w:t xml:space="preserve">Financials. GAAP-compliant projections, balance sheet, cash flow.</w:t>
      </w:r>
      <w:r>
        <w:br/>
      </w:r>
      <w:r>
        <w:rPr>
          <w:rStyle w:val="VerbatimChar"/>
        </w:rPr>
        <w:t xml:space="preserve">Product and clinical. The platform, the dosing protocol, and the 12-week data.</w:t>
      </w:r>
      <w:r>
        <w:br/>
      </w:r>
      <w:r>
        <w:rPr>
          <w:rStyle w:val="VerbatimChar"/>
        </w:rPr>
        <w:t xml:space="preserve">Company. Patent position, manufacturing, the Gen 4 cost work.</w:t>
      </w:r>
      <w:r>
        <w:br/>
      </w:r>
      <w:r>
        <w:rPr>
          <w:rStyle w:val="VerbatimChar"/>
        </w:rPr>
        <w:t xml:space="preserve">Marketing. The engine behind the funnel, which you picked up on before I got to it.</w:t>
      </w:r>
      <w:r>
        <w:br/>
      </w:r>
      <w:r>
        <w:br/>
      </w:r>
      <w:r>
        <w:rPr>
          <w:rStyle w:val="VerbatimChar"/>
        </w:rPr>
        <w:t xml:space="preserve">Take it in whatever order is useful. If something you want is not in there, tell me and I will add it to the room rather than email it across, so everything stays in one place and you are never working from a version I cannot see.</w:t>
      </w:r>
      <w:r>
        <w:br/>
      </w:r>
      <w:r>
        <w:br/>
      </w:r>
      <w:r>
        <w:rPr>
          <w:rStyle w:val="VerbatimChar"/>
        </w:rPr>
        <w:t xml:space="preserve">On your side, you mentioned taking the listing vehicle question to your bank. That is the conversation I am most interested in. Whenever you have a read, I would rather have it early and rough than late and polished.</w:t>
      </w:r>
      <w:r>
        <w:br/>
      </w:r>
      <w:r>
        <w:br/>
      </w:r>
      <w:r>
        <w:rPr>
          <w:rStyle w:val="VerbatimChar"/>
        </w:rPr>
        <w:t xml:space="preserve">I will check back next week unless I hear from you first.</w:t>
      </w:r>
    </w:p>
    <w:p>
      <w:pPr>
        <w:pStyle w:val="FirstParagraph"/>
      </w:pPr>
      <w:r>
        <w:rPr>
          <w:b/>
          <w:bCs/>
        </w:rPr>
        <w:t xml:space="preserve">Signature.</w:t>
      </w:r>
      <w:r>
        <w:t xml:space="preserve"> </w:t>
      </w:r>
      <w:r>
        <w:t xml:space="preserve">Sent from Scott’s own client, so his normal signature applies. Do not type a sign-off in the body; if this ever goes out through GHL instead,</w:t>
      </w:r>
      <w:r>
        <w:t xml:space="preserve"> </w:t>
      </w:r>
      <w:r>
        <w:rPr>
          <w:rStyle w:val="VerbatimChar"/>
        </w:rPr>
        <w:t xml:space="preserve">{{custom_values.standard_signature}}</w:t>
      </w:r>
      <w:r>
        <w:t xml:space="preserve"> </w:t>
      </w:r>
      <w:r>
        <w:t xml:space="preserve">already carries</w:t>
      </w:r>
      <w:r>
        <w:t xml:space="preserve"> </w:t>
      </w:r>
      <w:r>
        <w:t xml:space="preserve">“Carpe Diem,”</w:t>
      </w:r>
      <w:r>
        <w:t xml:space="preserve"> </w:t>
      </w:r>
      <w:r>
        <w:t xml:space="preserve">and repeating it duplicates.</w:t>
      </w:r>
    </w:p>
    <w:p>
      <w:r>
        <w:pict>
          <v:rect style="width:0;height:1.5pt" o:hralign="center" o:hrstd="t" o:hr="t"/>
        </w:pict>
      </w:r>
    </w:p>
    <w:bookmarkEnd w:id="19"/>
    <w:bookmarkStart w:id="20" w:name="what-was-deliberately-left-out-and-why"/>
    <w:p>
      <w:pPr>
        <w:pStyle w:val="Heading1"/>
      </w:pPr>
      <w:r>
        <w:t xml:space="preserve">What was deliberately left out, and why</w:t>
      </w:r>
    </w:p>
    <w:p>
      <w:pPr>
        <w:pStyle w:val="FirstParagraph"/>
      </w:pPr>
      <w:r>
        <w:rPr>
          <w:b/>
          <w:bCs/>
        </w:rPr>
        <w:t xml:space="preserve">The origin story is not retold.</w:t>
      </w:r>
      <w:r>
        <w:t xml:space="preserve"> </w:t>
      </w:r>
      <w:r>
        <w:t xml:space="preserve">He heard it this morning, in Scott’s voice, with the pauses. A written restatement of the same story is weaker than the memory of hearing it, and it makes the email about Enyrgy rather than about what Brian does next.</w:t>
      </w:r>
    </w:p>
    <w:p>
      <w:pPr>
        <w:pStyle w:val="BodyText"/>
      </w:pPr>
      <w:r>
        <w:rPr>
          <w:b/>
          <w:bCs/>
        </w:rPr>
        <w:t xml:space="preserve">None of the medical claims from the call are in writing.</w:t>
      </w:r>
      <w:r>
        <w:t xml:space="preserve"> </w:t>
      </w:r>
      <w:r>
        <w:t xml:space="preserve">Three sentences from the transcript are fine spoken in context and carry differently once they are a forwardable document:</w:t>
      </w:r>
    </w:p>
    <w:p>
      <w:pPr>
        <w:pStyle w:val="Compact"/>
        <w:numPr>
          <w:ilvl w:val="0"/>
          <w:numId w:val="1001"/>
        </w:numPr>
      </w:pPr>
      <w:r>
        <w:t xml:space="preserve">The physicians saying they could tell Scott</w:t>
      </w:r>
      <w:r>
        <w:t xml:space="preserve"> </w:t>
      </w:r>
      <w:r>
        <w:t xml:space="preserve">“for certainty that we would have prevented it”</w:t>
      </w:r>
    </w:p>
    <w:p>
      <w:pPr>
        <w:pStyle w:val="Compact"/>
        <w:numPr>
          <w:ilvl w:val="0"/>
          <w:numId w:val="1001"/>
        </w:numPr>
      </w:pPr>
      <w:r>
        <w:t xml:space="preserve">The 60 percent reduction in mortality from the LSU and Baylor UVB study</w:t>
      </w:r>
    </w:p>
    <w:p>
      <w:pPr>
        <w:pStyle w:val="Compact"/>
        <w:numPr>
          <w:ilvl w:val="0"/>
          <w:numId w:val="1001"/>
        </w:numPr>
      </w:pPr>
      <w:r>
        <w:t xml:space="preserve">Women below 20 ng/mL carrying an over 80 percent higher risk of breast cancer</w:t>
      </w:r>
    </w:p>
    <w:p>
      <w:pPr>
        <w:pStyle w:val="FirstParagraph"/>
      </w:pPr>
      <w:r>
        <w:rPr>
          <w:b/>
          <w:bCs/>
        </w:rPr>
        <w:t xml:space="preserve">The first one is the one that matters.</w:t>
      </w:r>
      <w:r>
        <w:t xml:space="preserve"> </w:t>
      </w:r>
      <w:r>
        <w:t xml:space="preserve">It is a statement that a device would have prevented a specific cancer. Spoken by physicians in a private conversation about someone’s wife, it is a human moment. Written into an investor email by the CEO, it is a medical claim by a company that makes none, in a document that gets forwarded to a bank, a lawyer and a diligence file. The clinical material sits in the data room where it belongs, with its own context.</w:t>
      </w:r>
    </w:p>
    <w:p>
      <w:pPr>
        <w:pStyle w:val="BodyText"/>
      </w:pPr>
      <w:r>
        <w:rPr>
          <w:b/>
          <w:bCs/>
        </w:rPr>
        <w:t xml:space="preserve">No metrics are restated.</w:t>
      </w:r>
      <w:r>
        <w:t xml:space="preserve"> </w:t>
      </w:r>
      <w:r>
        <w:t xml:space="preserve">Repeating the numbers he just heard implies he was not listening. A map of where the numbers live is more useful than the numbers.</w:t>
      </w:r>
    </w:p>
    <w:p>
      <w:r>
        <w:pict>
          <v:rect style="width:0;height:1.5pt" o:hralign="center" o:hrstd="t" o:hr="t"/>
        </w:pict>
      </w:r>
    </w:p>
    <w:bookmarkEnd w:id="20"/>
    <w:bookmarkStart w:id="21" w:name="two-things-for-scott-before-sending"/>
    <w:p>
      <w:pPr>
        <w:pStyle w:val="Heading1"/>
      </w:pPr>
      <w:r>
        <w:t xml:space="preserve">Two things for Scott before sending</w:t>
      </w:r>
    </w:p>
    <w:p>
      <w:pPr>
        <w:pStyle w:val="FirstParagraph"/>
      </w:pPr>
      <w:r>
        <w:rPr>
          <w:b/>
          <w:bCs/>
        </w:rPr>
        <w:t xml:space="preserve">1. Accreditation.</w:t>
      </w:r>
      <w:r>
        <w:t xml:space="preserve"> </w:t>
      </w:r>
      <w:r>
        <w:t xml:space="preserve">The attorney rule in KB Section 12 is that investor financial content does not go to a contact whose</w:t>
      </w:r>
      <w:r>
        <w:t xml:space="preserve"> </w:t>
      </w:r>
      <w:r>
        <w:rPr>
          <w:rStyle w:val="VerbatimChar"/>
        </w:rPr>
        <w:t xml:space="preserve">accredited_verified</w:t>
      </w:r>
      <w:r>
        <w:t xml:space="preserve"> </w:t>
      </w:r>
      <w:r>
        <w:t xml:space="preserve">is not Yes, with a carve-out for the PPM after an intro meeting, plus the subscription agreement and term sheet as pre-acceptance documents.</w:t>
      </w:r>
      <w:r>
        <w:t xml:space="preserve"> </w:t>
      </w:r>
      <w:r>
        <w:rPr>
          <w:b/>
          <w:bCs/>
        </w:rPr>
        <w:t xml:space="preserve">A data room of GAAP financials, projections and cash flow is broader than that carve-out names.</w:t>
      </w:r>
    </w:p>
    <w:p>
      <w:pPr>
        <w:pStyle w:val="BodyText"/>
      </w:pPr>
      <w:r>
        <w:t xml:space="preserve">Brian Goldberg is a capital markets principal introduced by a former securities regulator who was on the call, so the substance is almost certainly fine. The gap is documentation, not judgment. Two cheap ways to close it, in order of preference:</w:t>
      </w:r>
    </w:p>
    <w:p>
      <w:pPr>
        <w:pStyle w:val="Compact"/>
        <w:numPr>
          <w:ilvl w:val="0"/>
          <w:numId w:val="1002"/>
        </w:numPr>
      </w:pPr>
      <w:r>
        <w:t xml:space="preserve">Ask Brian Cameron to confirm status in writing, since he made the introduction and knows the answer</w:t>
      </w:r>
    </w:p>
    <w:p>
      <w:pPr>
        <w:pStyle w:val="Compact"/>
        <w:numPr>
          <w:ilvl w:val="0"/>
          <w:numId w:val="1002"/>
        </w:numPr>
      </w:pPr>
      <w:r>
        <w:t xml:space="preserve">Gate the DocSend link to Brian’s email address, which most rooms support and which gives an access log</w:t>
      </w:r>
    </w:p>
    <w:p>
      <w:pPr>
        <w:pStyle w:val="FirstParagraph"/>
      </w:pPr>
      <w:r>
        <w:t xml:space="preserve">Neither requires an awkward form in a warm-intro email, which is why the accreditation link is not in the draft.</w:t>
      </w:r>
    </w:p>
    <w:p>
      <w:pPr>
        <w:pStyle w:val="BodyText"/>
      </w:pPr>
      <w:r>
        <w:rPr>
          <w:b/>
          <w:bCs/>
        </w:rPr>
        <w:t xml:space="preserve">2. Facts to correct if they reappear.</w:t>
      </w:r>
      <w:r>
        <w:t xml:space="preserve"> </w:t>
      </w:r>
      <w:r>
        <w:t xml:space="preserve">The call summary contains four errors worth not propagating into later documents: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In the summary</w:t>
            </w:r>
          </w:p>
        </w:tc>
        <w:tc>
          <w:tcPr/>
          <w:p>
            <w:pPr>
              <w:pStyle w:val="Compact"/>
            </w:pPr>
            <w:r>
              <w:t xml:space="preserve">Correct</w:t>
            </w:r>
          </w:p>
        </w:tc>
      </w:tr>
      <w:tr>
        <w:tc>
          <w:tcPr/>
          <w:p>
            <w:pPr>
              <w:pStyle w:val="Compact"/>
            </w:pPr>
            <w:r>
              <w:t xml:space="preserve">95 percent UVB, 5 percent UVA</w:t>
            </w:r>
          </w:p>
        </w:tc>
        <w:tc>
          <w:tcPr/>
          <w:p>
            <w:pPr>
              <w:pStyle w:val="Compact"/>
            </w:pPr>
            <w:r>
              <w:t xml:space="preserve">over 90 percent UVB, under 10 percent UVA</w:t>
            </w:r>
          </w:p>
        </w:tc>
      </w:tr>
      <w:tr>
        <w:tc>
          <w:tcPr/>
          <w:p>
            <w:pPr>
              <w:pStyle w:val="Compact"/>
            </w:pPr>
            <w:r>
              <w:t xml:space="preserve">Dr. Samantha Kimble</w:t>
            </w:r>
          </w:p>
        </w:tc>
        <w:tc>
          <w:tcPr/>
          <w:p>
            <w:pPr>
              <w:pStyle w:val="Compact"/>
            </w:pPr>
            <w:r>
              <w:t xml:space="preserve">Dr. Samantha</w:t>
            </w:r>
            <w:r>
              <w:t xml:space="preserve"> </w:t>
            </w:r>
            <w:r>
              <w:rPr>
                <w:b/>
                <w:bCs/>
              </w:rPr>
              <w:t xml:space="preserve">Kimball</w:t>
            </w:r>
          </w:p>
        </w:tc>
      </w:tr>
      <w:tr>
        <w:tc>
          <w:tcPr/>
          <w:p>
            <w:pPr>
              <w:pStyle w:val="Compact"/>
            </w:pPr>
            <w:r>
              <w:t xml:space="preserve">Dr. Hollis, over 30 years</w:t>
            </w:r>
          </w:p>
        </w:tc>
        <w:tc>
          <w:tcPr/>
          <w:p>
            <w:pPr>
              <w:pStyle w:val="Compact"/>
            </w:pPr>
            <w:r>
              <w:t xml:space="preserve">over</w:t>
            </w:r>
            <w:r>
              <w:t xml:space="preserve"> </w:t>
            </w:r>
            <w:r>
              <w:rPr>
                <w:b/>
                <w:bCs/>
              </w:rPr>
              <w:t xml:space="preserve">forty</w:t>
            </w:r>
            <w:r>
              <w:t xml:space="preserve"> </w:t>
            </w:r>
            <w:r>
              <w:t xml:space="preserve">years</w:t>
            </w:r>
          </w:p>
        </w:tc>
      </w:tr>
      <w:tr>
        <w:tc>
          <w:tcPr/>
          <w:p>
            <w:pPr>
              <w:pStyle w:val="Compact"/>
            </w:pPr>
            <w:r>
              <w:t xml:space="preserve">“Energy”</w:t>
            </w:r>
            <w:r>
              <w:t xml:space="preserve"> </w:t>
            </w:r>
            <w:r>
              <w:t xml:space="preserve">throughout</w:t>
            </w:r>
          </w:p>
        </w:tc>
        <w:tc>
          <w:tcPr/>
          <w:p>
            <w:pPr>
              <w:pStyle w:val="Compact"/>
            </w:pPr>
            <w:r>
              <w:rPr>
                <w:b/>
                <w:bCs/>
              </w:rPr>
              <w:t xml:space="preserve">Enyrgy</w:t>
            </w:r>
          </w:p>
        </w:tc>
      </w:tr>
    </w:tbl>
    <w:p>
      <w:pPr>
        <w:pStyle w:val="BodyText"/>
      </w:pPr>
      <w:r>
        <w:t xml:space="preserve">The summary also describes the 12-week data as a</w:t>
      </w:r>
      <w:r>
        <w:t xml:space="preserve"> </w:t>
      </w:r>
      <w:r>
        <w:t xml:space="preserve">“small clinical trial”</w:t>
      </w:r>
      <w:r>
        <w:t xml:space="preserve"> </w:t>
      </w:r>
      <w:r>
        <w:t xml:space="preserve">without stating the denominator. In any written investor material it is five participants with no control group, which the data room should say plainly.</w:t>
      </w:r>
    </w:p>
    <w:bookmarkEnd w:id="21"/>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Investor Followup MonroeStreet </w:t>
    </w:r>
    <w:proofErr w:type="gramStart"/>
    <w:r>
      <w:rPr>
        <w:rFonts w:ascii="Montserrat" w:eastAsia="Montserrat" w:hAnsi="Montserrat" w:cs="Montserrat"/>
        <w:b/>
        <w:bCs/>
        <w:color w:val="E64C38"/>
        <w:sz w:val="18"/>
        <w:szCs w:val="18"/>
      </w:rPr>
      <w:t xml:space="preserve">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2026-08-28T19:25:32Z</dcterms:created>
  <dcterms:modified xsi:type="dcterms:W3CDTF">2026-08-28T19:25:32Z</dcterms:modified>
</cp:coreProperties>
</file>

<file path=docProps/custom.xml><?xml version="1.0" encoding="utf-8"?>
<Properties xmlns="http://schemas.openxmlformats.org/officeDocument/2006/custom-properties" xmlns:vt="http://schemas.openxmlformats.org/officeDocument/2006/docPropsVTypes"/>
</file>