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 then a CUB spot-check the same day produced three changes: touch 10, touch 12 and a full rewrite of touch 11.</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reads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users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pilot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pilot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p>
    <w:p>
      <w:pPr>
        <w:pStyle w:val="SourceCode"/>
      </w:pPr>
      <w:r>
        <w:rPr>
          <w:rStyle w:val="VerbatimChar"/>
        </w:rPr>
        <w:t xml:space="preserve">Hi {{contact.first_name}}, the part most people ask about last: there is a 30 day money back guarantee. Try it, and if it is not for you, send it back. Under 1 percent of people do. Happy to answer anything before you decide. Book here: https://api.leadconnectorhq.com/widget/booking/C0hV5CFHUhWOIzs4OedC Reply STOP to opt out. Msg &amp; data rates may apply.</w:t>
      </w:r>
    </w:p>
    <w:p>
      <w:pPr>
        <w:pStyle w:val="FirstParagraph"/>
      </w:pPr>
      <w:r>
        <w:rPr>
          <w:b/>
          <w:bCs/>
        </w:rPr>
        <w:t xml:space="preserve">REWRITTEN Aug 2 (CUB spot-check).</w:t>
      </w:r>
      <w:r>
        <w:t xml:space="preserve"> </w:t>
      </w:r>
      <w:r>
        <w:t xml:space="preserve">The original led with limited batches and a few weeks’ ship time. It was the only touch in the sequence that handed the reader pressure rather than something useful, and arriving on Day 19 it undercut the low-pressure Day 21 close two days later.</w:t>
      </w:r>
    </w:p>
    <w:p>
      <w:pPr>
        <w:pStyle w:val="BodyText"/>
      </w:pPr>
      <w:r>
        <w:t xml:space="preserve">Replaced with the objection nothing else in the drip answers: what if it does not work for me. The guarantee and the under-1-percent return rate work as one move, risk reversal plus the evidence almost nobody needs it.</w:t>
      </w:r>
    </w:p>
    <w:p>
      <w:pPr>
        <w:pStyle w:val="BodyText"/>
      </w:pPr>
      <w:r>
        <w:t xml:space="preserve">The manufacturing fact is true and stays available for a reply to someone actually deciding. It does not need broadcasting to everyone on Day 19.</w:t>
      </w:r>
    </w:p>
    <w:p>
      <w:pPr>
        <w:pStyle w:val="BodyText"/>
      </w:pPr>
      <w:r>
        <w:rPr>
          <w:b/>
          <w:bCs/>
        </w:rPr>
        <w:t xml:space="preserve">Deliberately keeps the guarantee decoupled from lab timing.</w:t>
      </w:r>
      <w:r>
        <w:t xml:space="preserve"> </w:t>
      </w:r>
      <w:r>
        <w:t xml:space="preserve">The Session 14 audit found several emails tying the 30-day window to an 8-to-12-week lab retest, which is impossible inside 30 days. This is a standalone keep-or-return decision with no mention of labs.</w:t>
      </w:r>
    </w:p>
    <w:p>
      <w:pPr>
        <w:pStyle w:val="BodyText"/>
      </w:pPr>
      <w:r>
        <w:t xml:space="preserve">Three segments, the same as the copy it replaces.</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d739c71d7ff18e8c90d8064492bae7b7233ee0b"/>
    <w:p>
      <w:pPr>
        <w:pStyle w:val="Heading2"/>
      </w:pPr>
      <w:r>
        <w:t xml:space="preserve">1. N=5 caveat omitted from the pilot figures (touches 6 and 10): DELIBERATE, RESOLVED</w:t>
      </w:r>
    </w:p>
    <w:p>
      <w:pPr>
        <w:pStyle w:val="FirstParagraph"/>
      </w:pPr>
      <w:r>
        <w:t xml:space="preserve">Touches 6 and 10 cite the 111 percent and 100-percent-optimal figures without the pilot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d0b1bfef2ee932f226bf0463f25f943a8f88266"/>
    <w:p>
      <w:pPr>
        <w:pStyle w:val="Heading2"/>
      </w:pPr>
      <w:r>
        <w:t xml:space="preserve">3.</w:t>
      </w:r>
      <w:r>
        <w:t xml:space="preserve"> </w:t>
      </w:r>
      <w:r>
        <w:t xml:space="preserve">“Limited batches”</w:t>
      </w:r>
      <w:r>
        <w:t xml:space="preserve"> </w:t>
      </w:r>
      <w:r>
        <w:t xml:space="preserve">in touch 11: TRUE, but the touch was rewritten anyway</w:t>
      </w:r>
    </w:p>
    <w:p>
      <w:pPr>
        <w:pStyle w:val="FirstParagraph"/>
      </w:pPr>
      <w:r>
        <w:t xml:space="preserve">The scarcity and lead-time language was a literal description of manufacturing, not manufactured urgency. Confirmed by Scott at capture, 2026-08-02.</w:t>
      </w:r>
    </w:p>
    <w:p>
      <w:pPr>
        <w:pStyle w:val="BodyText"/>
      </w:pPr>
      <w:r>
        <w:t xml:space="preserve">It came out of touch 11 for a separate reason found in the CUB spot-check the same day: it was the only touch handing the reader pressure rather than something useful. See touch 11 above.</w:t>
      </w:r>
    </w:p>
    <w:p>
      <w:pPr>
        <w:pStyle w:val="BodyText"/>
      </w:pPr>
      <w:r>
        <w:rPr>
          <w:b/>
          <w:bCs/>
        </w:rPr>
        <w:t xml:space="preserve">Batch size is deliberately NOT a KB fact.</w:t>
      </w:r>
      <w:r>
        <w:t xml:space="preserve"> </w:t>
      </w:r>
      <w:r>
        <w:t xml:space="preserve">It moves with funding and production capacity, so a number written down becomes a claim agents state confidently after it stopped being true, with nothing to catch the drift. KB Section 3 records the policy instead: never quote a batch size or lead time, escalate to Scott.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2026-08-03T00:38:04Z</dcterms:created>
  <dcterms:modified xsi:type="dcterms:W3CDTF">2026-08-03T00:38:04Z</dcterms:modified>
</cp:coreProperties>
</file>

<file path=docProps/custom.xml><?xml version="1.0" encoding="utf-8"?>
<Properties xmlns="http://schemas.openxmlformats.org/officeDocument/2006/custom-properties" xmlns:vt="http://schemas.openxmlformats.org/officeDocument/2006/docPropsVTypes"/>
</file>