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Phantom-completion</w:t>
      </w:r>
      <w:r>
        <w:rPr>
          <w:b/>
          <w:bCs/>
        </w:rPr>
        <w:t xml:space="preserve"> </w:t>
      </w:r>
      <w:r>
        <w:rPr>
          <w:b/>
          <w:bCs/>
        </w:rPr>
        <w:t xml:space="preserve">“bug”</w:t>
      </w:r>
      <w:r>
        <w:rPr>
          <w:b/>
          <w:bCs/>
        </w:rPr>
        <w:t xml:space="preserve"> </w:t>
      </w:r>
      <w:r>
        <w:rPr>
          <w:b/>
          <w:bCs/>
        </w:rPr>
        <w:t xml:space="preserve">— INVESTIGATED, NOT A REAL BUG (July 28).</w:t>
      </w:r>
      <w:r>
        <w:t xml:space="preserve"> </w:t>
      </w:r>
      <w:r>
        <w:t xml:space="preserve">Read the recovery state machine (</w:t>
      </w:r>
      <w:r>
        <w:rPr>
          <w:rStyle w:val="VerbatimChar"/>
        </w:rPr>
        <w:t xml:space="preserve">server/src/services/recovery/service.ts</w:t>
      </w:r>
      <w:r>
        <w:t xml:space="preserve">). Credit/budget failures classify as</w:t>
      </w:r>
      <w:r>
        <w:t xml:space="preserve"> </w:t>
      </w:r>
      <w:r>
        <w:rPr>
          <w:rStyle w:val="VerbatimChar"/>
        </w:rPr>
        <w:t xml:space="preserve">non_retryable</w:t>
      </w:r>
      <w:r>
        <w:t xml:space="preserve"> </w:t>
      </w:r>
      <w:r>
        <w:t xml:space="preserve">and route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the 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transition is the watchdog-evaluation false-positive fold (which requires a succeeded source run), and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isn’t even specially handled (falls through to the generic blocked path). There is NO code path that marks a work issue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on a credit failure. The</w:t>
      </w:r>
      <w:r>
        <w:t xml:space="preserve"> </w:t>
      </w:r>
      <w:r>
        <w:t xml:space="preserve">“ENY-24 flipped to done”</w:t>
      </w:r>
      <w:r>
        <w:t xml:space="preserve"> </w:t>
      </w:r>
      <w:r>
        <w:t xml:space="preserve">claim was another COO confabulation from the credit-starvation window (same unreliable source as the ENY-20 false alarm). No code change made; inventing a fix for a non-existent bug is exactly the anti-pattern the confabulation lesson warns against.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 DONE. Already Approved in LC Phone with Friendly Name</w:t>
      </w:r>
      <w:r>
        <w:t xml:space="preserve"> </w:t>
      </w:r>
      <w:r>
        <w:t xml:space="preserve">“Enyrgy Inc”</w:t>
      </w:r>
      <w:r>
        <w:t xml:space="preserve">; outbound calls display the business name.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GHL agency email sender name =</w:t>
      </w:r>
      <w:r>
        <w:rPr>
          <w:b/>
          <w:bCs/>
        </w:rPr>
        <w:t xml:space="preserve"> </w:t>
      </w:r>
      <w:r>
        <w:rPr>
          <w:b/>
          <w:bCs/>
        </w:rPr>
        <w:t xml:space="preserve">“Ledgerix Pro LLC”</w:t>
      </w:r>
      <w:r>
        <w:rPr>
          <w:b/>
          <w:bCs/>
        </w:rPr>
        <w:t xml:space="preserve"> </w:t>
      </w:r>
      <w:r>
        <w:rPr>
          <w:b/>
          <w:bCs/>
        </w:rPr>
        <w:t xml:space="preserve">(HIGH, employee-facing) -&gt; HighLevel support ticket</w:t>
      </w:r>
      <w:r>
        <w:t xml:space="preserve"> </w:t>
      </w:r>
      <w:r>
        <w:t xml:space="preserve">— DONE July 28: Enyrgy agency mailing address corrected to Phoenix; Business Category fixed Medical -&gt; Health &amp; Wellness (no A2P impact, separate TCR filing). FULLY DIAGNOSED: Scott runs TWO SEPARATE GHL agencies under one login, each with its own Relationship Number and each internally correct: Enyrgy Inc (0-167-470, all fields Enyrgy) and Ledgerix Pro LLC (0-783-665, all fields Ledgerix). The Enyrgy agency’s system emails render bodies correctly ({{agency.name}} = Enyrgy Inc) but stamp the SENDER display name as</w:t>
      </w:r>
      <w:r>
        <w:t xml:space="preserve"> </w:t>
      </w:r>
      <w:r>
        <w:t xml:space="preserve">“Ledgerix Pro LLC”</w:t>
      </w:r>
      <w:r>
        <w:t xml:space="preserve"> </w:t>
      </w:r>
      <w:r>
        <w:t xml:space="preserve">(the other agency). Not editable in either agency’s settings -&gt; it is a HighLevel PLATFORM cross-agency sender-identity issue for a multi-agency admin. FIX: HighLevel support ticket SENT July 28, 2026 (asks them to make Enyrgy agency 0-167-470 use</w:t>
      </w:r>
      <w:r>
        <w:t xml:space="preserve"> </w:t>
      </w:r>
      <w:r>
        <w:t xml:space="preserve">“Enyrgy Inc”</w:t>
      </w:r>
      <w:r>
        <w:t xml:space="preserve"> </w:t>
      </w:r>
      <w:r>
        <w:t xml:space="preserve">as the system-email sender). AWAITING HighLevel resolution. Optional self-check meanwhile: My Profile for a default/primary-agency setting.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DONE (July 28). Commercial ROI PDF built (</w:t>
      </w:r>
      <w:r>
        <w:rPr>
          <w:rStyle w:val="VerbatimChar"/>
        </w:rPr>
        <w:t xml:space="preserve">Enyrgy_Commercial_ROI.pdf</w:t>
      </w:r>
      <w:r>
        <w:t xml:space="preserve"> </w:t>
      </w:r>
      <w:r>
        <w:t xml:space="preserve">+ editable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source in repo; one placeholder = commercial booking link). Inbound 888 voicemail greeting recorded in Scott’s voice. Outbound investor-drip voicemail script drafted (record only if/when that touch is activated; optional). PPM attorney-approved.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Refresh the EA to v1.1 (July 28)</w:t>
      </w:r>
      <w:r>
        <w:t xml:space="preserve"> </w:t>
      </w:r>
      <w:r>
        <w:t xml:space="preserve">— bumped to Version 1.1 with an authoritative</w:t>
      </w:r>
      <w:r>
        <w:t xml:space="preserve"> </w:t>
      </w:r>
      <w:r>
        <w:t xml:space="preserve">“v1.1 Current-State Update”</w:t>
      </w:r>
      <w:r>
        <w:t xml:space="preserve"> </w:t>
      </w:r>
      <w:r>
        <w:t xml:space="preserve">section that overrides the stale June-29 body (Shopify integration + WF-27/28/29, GBP live + WF-07 wiring, full Paperclip org + tuned heartbeats, toll-free SMS/CNAM/no-10DLC, content assets, addresses/business-category fixes, the reliability findings incl. the debunked phantom-completion, and the open agency-email item). A future pass can fold these line-by-line into each layer.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3"/>
  </w:num>
  <w:num w:numId="1019">
    <w:abstractNumId w:val="992"/>
  </w:num>
  <w:num w:numId="1020">
    <w:abstractNumId w:val="992"/>
  </w:num>
  <w:num w:numId="1021">
    <w:abstractNumId w:val="993"/>
  </w:num>
  <w:num w:numId="1022">
    <w:abstractNumId w:val="993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3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3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2026-07-29T16:05:54Z</dcterms:created>
  <dcterms:modified xsi:type="dcterms:W3CDTF">2026-07-29T16:05:54Z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