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240"/>
        <w:jc w:val="center"/>
      </w:pPr>
      <w:r>
        <w:rPr>
          <w:rFonts w:ascii="Montserrat" w:eastAsia="Montserrat" w:hAnsi="Montserrat" w:cs="Montserrat"/>
          <w:b/>
          <w:bCs/>
          <w:color w:val="E64C38"/>
          <w:sz w:val="80"/>
          <w:szCs w:val="80"/>
        </w:rPr>
        <w:t xml:space="preserve">ENYRGY</w:t>
      </w:r>
    </w:p>
    <w:p>
      <w:pPr>
        <w:spacing w:after="480"/>
        <w:jc w:val="center"/>
      </w:pPr>
      <w:r>
        <w:rPr>
          <w:rFonts w:ascii="Montserrat" w:eastAsia="Montserrat" w:hAnsi="Montserrat" w:cs="Montserrat"/>
          <w:i/>
          <w:iCs/>
          <w:sz w:val="32"/>
          <w:szCs w:val="32"/>
        </w:rPr>
        <w:t xml:space="preserve">Sunlight. Evolved.</w:t>
      </w:r>
    </w:p>
    <w:p>
      <w:pPr>
        <w:jc w:val="center"/>
      </w:pPr>
      <w:r>
        <w:rPr>
          <w:rFonts w:ascii="Montserrat" w:eastAsia="Montserrat" w:hAnsi="Montserrat" w:cs="Montserrat"/>
          <w:b/>
          <w:bCs/>
          <w:sz w:val="40"/>
          <w:szCs w:val="40"/>
        </w:rPr>
        <w:t xml:space="preserve">Paperclip Knowledge Base</w:t>
      </w:r>
    </w:p>
    <w:p>
      <w:pPr>
        <w:spacing w:after="120"/>
        <w:jc w:val="center"/>
      </w:pPr>
      <w:r>
        <w:rPr>
          <w:rFonts w:ascii="Montserrat" w:eastAsia="Montserrat" w:hAnsi="Montserrat" w:cs="Montserrat"/>
          <w:sz w:val="28"/>
          <w:szCs w:val="28"/>
        </w:rPr>
        <w:t xml:space="preserve">Shared, Agent-Read: The Single Source of Truth</w:t>
      </w:r>
    </w:p>
    <w:p>
      <w:pPr>
        <w:spacing w:after="480"/>
        <w:jc w:val="center"/>
      </w:pPr>
      <w:r>
        <w:rPr>
          <w:rFonts w:ascii="Montserrat" w:eastAsia="Montserrat" w:hAnsi="Montserrat" w:cs="Montserrat"/>
          <w:color w:val="E64C38"/>
          <w:sz w:val="24"/>
          <w:szCs w:val="24"/>
        </w:rPr>
        <w:t xml:space="preserve">Grounded in Implementation Guide v3.9</w:t>
      </w:r>
    </w:p>
    <w:p>
      <w:pPr>
        <w:jc w:val="center"/>
      </w:pPr>
      <w:r>
        <w:rPr>
          <w:rFonts w:ascii="Montserrat" w:eastAsia="Montserrat" w:hAnsi="Montserrat" w:cs="Montserrat"/>
          <w:sz w:val="24"/>
          <w:szCs w:val="24"/>
        </w:rPr>
        <w:t xml:space="preserve">Consumer Unit $2,995 · Commercial Unit $8,950 · 600+ Users · 25,000+ Treatments</w:t>
      </w:r>
    </w:p>
    <w:p>
      <w:pPr>
        <w:spacing w:after="240"/>
        <w:jc w:val="center"/>
      </w:pPr>
      <w:r>
        <w:rPr>
          <w:rFonts w:ascii="Montserrat" w:eastAsia="Montserrat" w:hAnsi="Montserrat" w:cs="Montserrat"/>
        </w:rPr>
        <w:t xml:space="preserve">scott@enyrgy.com · 602-321-0322 · enyrgy.com</w:t>
      </w:r>
    </w:p>
    <w:p>
      <w:pPr>
        <w:spacing w:after="240"/>
        <w:jc w:val="center"/>
      </w:pPr>
      <w:r>
        <w:rPr>
          <w:rFonts w:ascii="Montserrat" w:eastAsia="Montserrat" w:hAnsi="Montserrat" w:cs="Montserrat"/>
        </w:rPr>
        <w:t xml:space="preserve">Author: Scott Hansbury, Co-founder &amp; CEO, Enyrgy Inc</w:t>
      </w:r>
    </w:p>
    <w:p>
      <w:pPr>
        <w:spacing w:after="240"/>
        <w:jc w:val="center"/>
      </w:pPr>
      <w:r>
        <w:rPr>
          <w:rFonts w:ascii="Montserrat" w:eastAsia="Montserrat" w:hAnsi="Montserrat" w:cs="Montserrat"/>
        </w:rPr>
        <w:t xml:space="preserve">Sub-account: GtXjla7Ld1dordsTWrVy</w:t>
      </w:r>
    </w:p>
    <w:p>
      <w:pPr>
        <w:spacing w:after="120"/>
        <w:jc w:val="center"/>
      </w:pPr>
      <w:r>
        <w:rPr>
          <w:rFonts w:ascii="Montserrat" w:eastAsia="Montserrat" w:hAnsi="Montserrat" w:cs="Montserrat"/>
          <w:color w:val="666666"/>
          <w:sz w:val="20"/>
          <w:szCs w:val="20"/>
        </w:rPr>
        <w:t xml:space="preserve">Facility: 5115 N 27th Ave, Bld 66, Phoenix, AZ 85017</w:t>
      </w:r>
    </w:p>
    <w:p>
      <w:r>
        <w:t xml:space="preserve">CONFIDENTIAL</w:t>
      </w:r>
    </w:p>
    <w:p>
      <w:r>
        <w:t xml:space="preserve"/>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pPr>
        <w:pStyle w:val="BodyText"/>
      </w:pPr>
      <w:r>
        <w:rPr>
          <w:b/>
        </w:rPr>
        <w:t xml:space="preserve">If a person names a health condition, an injury, or a medication, stop and read section 16 before replying.</w:t>
      </w:r>
      <w:r>
        <w:t xml:space="preserve"> </w:t>
      </w:r>
      <w:r>
        <w:t xml:space="preserve">Never clear anyone for use, and never treat absence from the contraindication list as clearance.</w:t>
      </w:r>
    </w:p>
    <w:p>
      <w:pPr>
        <w:pStyle w:val="Heading1"/>
      </w:pPr>
      <w:bookmarkStart w:id="20" w:name="company-snapshot"/>
      <w:r>
        <w:t xml:space="preserve">1. Company snapshot</w:t>
      </w:r>
      <w:bookmarkEnd w:id="20"/>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numPr>
          <w:ilvl w:val="0"/>
          <w:numId w:val="1001"/>
        </w:numPr>
        <w:pStyle w:val="Compact"/>
      </w:pPr>
      <w:r>
        <w:t xml:space="preserve">Users: 600+ (organic growth, zero paid advertising to date).</w:t>
      </w:r>
      <w:r>
        <w:t xml:space="preserve"> </w:t>
      </w:r>
      <w:r>
        <w:rPr>
          <w:b/>
        </w:rPr>
        <w:t xml:space="preserve">Say users, not customers.</w:t>
      </w:r>
      <w:r>
        <w:t xml:space="preserve"> </w:t>
      </w:r>
      <w:r>
        <w:t xml:space="preserve">A home unit supports up to six users, so the two are not interchangeable and “600+ customers” overstates unit sales. Use “600+ users” in all copy.</w:t>
      </w:r>
    </w:p>
    <w:p>
      <w:pPr>
        <w:numPr>
          <w:ilvl w:val="0"/>
          <w:numId w:val="1001"/>
        </w:numPr>
        <w:pStyle w:val="Compact"/>
      </w:pPr>
      <w:r>
        <w:t xml:space="preserve">Treatments completed: 25,000+ (zero burns, zero adverse events).</w:t>
      </w:r>
    </w:p>
    <w:p>
      <w:pPr>
        <w:numPr>
          <w:ilvl w:val="0"/>
          <w:numId w:val="1001"/>
        </w:numPr>
        <w:pStyle w:val="Compact"/>
      </w:pPr>
      <w:r>
        <w:t xml:space="preserve">Return rate: under 1 percent (industry average 5 to 10 percent).</w:t>
      </w:r>
    </w:p>
    <w:p>
      <w:pPr>
        <w:numPr>
          <w:ilvl w:val="0"/>
          <w:numId w:val="1001"/>
        </w:numPr>
        <w:pStyle w:val="Compact"/>
      </w:pPr>
      <w:r>
        <w:t xml:space="preserve">Countries with inbound demand: 5 (USA, UK, Canada, France, New Zealand).</w:t>
      </w:r>
    </w:p>
    <w:p>
      <w:pPr>
        <w:numPr>
          <w:ilvl w:val="0"/>
          <w:numId w:val="1001"/>
        </w:numPr>
        <w:pStyle w:val="Compact"/>
      </w:pPr>
      <w:r>
        <w:t xml:space="preserve">Red light co-use: 90 percent of customers also use red light therapy.</w:t>
      </w:r>
    </w:p>
    <w:p>
      <w:pPr>
        <w:numPr>
          <w:ilvl w:val="0"/>
          <w:numId w:val="1001"/>
        </w:numPr>
        <w:pStyle w:val="Compact"/>
      </w:pPr>
      <w:r>
        <w:t xml:space="preserve">Facility: 5115 N 27th Ave, Bld 66, Phoenix, AZ 85017. Made in USA (relocated from Scottsdale).</w:t>
      </w:r>
    </w:p>
    <w:p>
      <w:pPr>
        <w:numPr>
          <w:ilvl w:val="0"/>
          <w:numId w:val="1001"/>
        </w:numPr>
        <w:pStyle w:val="Compact"/>
      </w:pPr>
      <w:r>
        <w:t xml:space="preserve">Founders and team: Scott Hansbury (Co-founder &amp; CEO), David Letourneau (President and Co-Founder), Brian Cameron (fractional CFO).</w:t>
      </w:r>
    </w:p>
    <w:p>
      <w:pPr>
        <w:numPr>
          <w:ilvl w:val="0"/>
          <w:numId w:val="1001"/>
        </w:numPr>
        <w:pStyle w:val="Compact"/>
      </w:pPr>
      <w:r>
        <w:t xml:space="preserve">Founder track record (verified, investor-facing): Scott Hansbury,</w:t>
      </w:r>
      <w:r>
        <w:t xml:space="preserve"> </w:t>
      </w:r>
      <w:r>
        <w:rPr>
          <w:b/>
        </w:rPr>
        <w:t xml:space="preserve">five exits from his previous eight startups totaling $500M+ in enterprise value, plus eleven M&amp;A transactions led, buy-side and sell-side, representing an additional $249M</w:t>
      </w:r>
      <w:r>
        <w:t xml:space="preserve"> </w:t>
      </w:r>
      <w:r>
        <w:t xml:space="preserve">(confirmed by Scott, 2026-08-25). Enyrgy is his ninth startup.</w:t>
      </w:r>
      <w:r>
        <w:t xml:space="preserve"> </w:t>
      </w:r>
      <w:r>
        <w:rPr>
          <w:b/>
        </w:rPr>
        <w:t xml:space="preserve">State the two figures separately and never combine them into a single total</w:t>
      </w:r>
      <w:r>
        <w:t xml:space="preserve">, since they describe different work: the $500M is exit value from companies he founded or helped build, the $249M is transaction value from deals he led. David Letourneau, scaled Alair Homes from 1 to 100+ locations, $750M+ in sales.</w:t>
      </w:r>
      <w:r>
        <w:t xml:space="preserve"> </w:t>
      </w:r>
      <w:r>
        <w:rPr>
          <w:b/>
        </w:rPr>
        <w:t xml:space="preserve">Brian Cameron, fractional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numPr>
          <w:ilvl w:val="0"/>
          <w:numId w:val="1001"/>
        </w:numPr>
        <w:pStyle w:val="Compact"/>
      </w:pPr>
      <w:r>
        <w:t xml:space="preserve">Active OEM partner: Lumanova (Luma D Light).</w:t>
      </w:r>
    </w:p>
    <w:p>
      <w:pPr>
        <w:pStyle w:val="Heading1"/>
      </w:pPr>
      <w:bookmarkStart w:id="21" w:name="product-the-triple-pathway-advantage"/>
      <w:r>
        <w:t xml:space="preserve">2. Product: the Triple-Pathway Advantage</w:t>
      </w:r>
      <w:bookmarkEnd w:id="21"/>
    </w:p>
    <w:p>
      <w:pPr>
        <w:pStyle w:val="FirstParagraph"/>
      </w:pPr>
      <w:r>
        <w:t xml:space="preserve">Product name on first reference:</w:t>
      </w:r>
      <w:r>
        <w:t xml:space="preserve"> </w:t>
      </w:r>
      <w:r>
        <w:rPr>
          <w:b/>
        </w:rPr>
        <w:t xml:space="preserve">Enyrgy Vitamin D Primal Light Platform</w:t>
      </w:r>
      <w:r>
        <w:t xml:space="preserve">. Deprecated names, never use: “Precision Vitamin D Wellness Platform,” “Primal Light Platform” alone.</w:t>
      </w:r>
    </w:p>
    <w:p>
      <w:pPr>
        <w:numPr>
          <w:ilvl w:val="0"/>
          <w:numId w:val="1002"/>
        </w:numPr>
        <w:pStyle w:val="Compact"/>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numPr>
          <w:ilvl w:val="0"/>
          <w:numId w:val="1002"/>
        </w:numPr>
        <w:pStyle w:val="Compact"/>
      </w:pPr>
      <w:r>
        <w:t xml:space="preserve">Pathway 2, Nitric Oxide release: supports cardiovascular regulation and blood pressure. Cannot be delivered orally (see the nitric oxide framing rule in section 10).</w:t>
      </w:r>
    </w:p>
    <w:p>
      <w:pPr>
        <w:numPr>
          <w:ilvl w:val="0"/>
          <w:numId w:val="1002"/>
        </w:numPr>
        <w:pStyle w:val="Compact"/>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 “light does five” 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rPr>
        <w:t xml:space="preserve">Do not write the unqualified form</w:t>
      </w:r>
      <w:r>
        <w:t xml:space="preserve"> </w:t>
      </w:r>
      <w:r>
        <w:t xml:space="preserve">(“no other solution delivers all three”):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rPr>
        <w:t xml:space="preserve">BioCalibrated Sunshine</w:t>
      </w:r>
      <w:r>
        <w:t xml:space="preserve"> </w:t>
      </w:r>
      <w:r>
        <w:t xml:space="preserve">(personalized-dosing and skin-type angle),</w:t>
      </w:r>
      <w:r>
        <w:t xml:space="preserve"> </w:t>
      </w:r>
      <w:r>
        <w:rPr>
          <w:b/>
        </w:rPr>
        <w:t xml:space="preserve">Triple-Pathway Advantage</w:t>
      </w:r>
      <w:r>
        <w:t xml:space="preserve">.</w:t>
      </w:r>
    </w:p>
    <w:p>
      <w:pPr>
        <w:pStyle w:val="Heading1"/>
      </w:pPr>
      <w:bookmarkStart w:id="22" w:name="pricing-and-unit-economics"/>
      <w:r>
        <w:t xml:space="preserve">3. Pricing and unit economics</w:t>
      </w:r>
      <w:bookmarkEnd w:id="22"/>
    </w:p>
    <w:p>
      <w:pPr>
        <w:numPr>
          <w:ilvl w:val="0"/>
          <w:numId w:val="1003"/>
        </w:numPr>
        <w:pStyle w:val="Compact"/>
      </w:pPr>
      <w:r>
        <w:t xml:space="preserve">Consumer Unit MSRP: $2,995 (gross margin 66 percent). Primary revenue driver, direct to consumer.</w:t>
      </w:r>
    </w:p>
    <w:p>
      <w:pPr>
        <w:numPr>
          <w:ilvl w:val="0"/>
          <w:numId w:val="1003"/>
        </w:numPr>
        <w:pStyle w:val="Compact"/>
      </w:pPr>
      <w:r>
        <w:t xml:space="preserve">Commercial Unit MSRP: $8,950 (gross margin 78 percent). B2B wellness, growing.</w:t>
      </w:r>
    </w:p>
    <w:p>
      <w:pPr>
        <w:numPr>
          <w:ilvl w:val="0"/>
          <w:numId w:val="1003"/>
        </w:numPr>
        <w:pStyle w:val="Compact"/>
      </w:pPr>
      <w:r>
        <w:t xml:space="preserve">Per-session cost: $2.30 (5 sessions per week over 5 years, roughly 1,300 sessions).</w:t>
      </w:r>
    </w:p>
    <w:p>
      <w:pPr>
        <w:numPr>
          <w:ilvl w:val="0"/>
          <w:numId w:val="1003"/>
        </w:numPr>
        <w:pStyle w:val="Compact"/>
      </w:pPr>
      <w:r>
        <w:t xml:space="preserve">Referral: $150 off for the referee, $100 credit for the referrer (used in WF-07).</w:t>
      </w:r>
      <w:r>
        <w:t xml:space="preserve"> </w:t>
      </w:r>
      <w:r>
        <w:rPr>
          <w:b/>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numPr>
          <w:ilvl w:val="0"/>
          <w:numId w:val="1003"/>
        </w:numPr>
        <w:pStyle w:val="Compact"/>
      </w:pPr>
      <w:r>
        <w:t xml:space="preserve">Monitored inbound address:</w:t>
      </w:r>
      <w:r>
        <w:t xml:space="preserve"> </w:t>
      </w:r>
      <w:r>
        <w:rPr>
          <w:b/>
        </w:rPr>
        <w:t xml:space="preserve">contact@enyrgy.com</w:t>
      </w:r>
      <w:r>
        <w:t xml:space="preserve">, used across the funnel and monitored. Safe to give out.</w:t>
      </w:r>
    </w:p>
    <w:p>
      <w:pPr>
        <w:numPr>
          <w:ilvl w:val="0"/>
          <w:numId w:val="1003"/>
        </w:numPr>
        <w:pStyle w:val="Compact"/>
      </w:pPr>
      <w:r>
        <w:t xml:space="preserve">Guarantee: 30-day money-back guarantee on the Consumer Unit. If it is not for you, return it within 30 days (return rate is under 1 percent, see Section 4).</w:t>
      </w:r>
    </w:p>
    <w:p>
      <w:pPr>
        <w:numPr>
          <w:ilvl w:val="0"/>
          <w:numId w:val="1003"/>
        </w:numPr>
        <w:pStyle w:val="Compact"/>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rPr>
        <w:t xml:space="preserve">HSA/FSA (approved August 2026):</w:t>
      </w:r>
      <w:r>
        <w:t xml:space="preserve"> </w:t>
      </w:r>
      <w:r>
        <w:t xml:space="preserve">the only authorized phrasing is “HSA/FSA eligible through Truemed”. Never explain eligibility in condition-or-treatment terms and never describe the Letter of Medical Necessity. That framing is prohibited regardless of what Truemed’s own copy blocks say.</w:t>
      </w:r>
      <w:r>
        <w:t xml:space="preserve"> </w:t>
      </w:r>
      <w:r>
        <w:rPr>
          <w:b/>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rPr>
        <w:t xml:space="preserve">Facility and commercial, confirmed by Truemed August 2026. The test is who the buyer of record is:</w:t>
      </w:r>
    </w:p>
    <w:p>
      <w:pPr>
        <w:numPr>
          <w:ilvl w:val="1"/>
          <w:numId w:val="1004"/>
        </w:numPr>
        <w:pStyle w:val="Compact"/>
      </w:pPr>
      <w:r>
        <w:rPr>
          <w:b/>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numPr>
          <w:ilvl w:val="1"/>
          <w:numId w:val="1004"/>
        </w:numPr>
        <w:pStyle w:val="Compact"/>
      </w:pPr>
      <w:r>
        <w:rPr>
          <w:b/>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numPr>
          <w:ilvl w:val="1"/>
          <w:numId w:val="1004"/>
        </w:numPr>
        <w:pStyle w:val="Compact"/>
      </w:pPr>
      <w:r>
        <w:t xml:space="preserve">Never suggest routing a facility’s own purchase through an individual to obtain eligibility. The distinction is whose purchase it is, not which link was used.</w:t>
      </w:r>
    </w:p>
    <w:p>
      <w:pPr>
        <w:numPr>
          <w:ilvl w:val="0"/>
          <w:numId w:val="1003"/>
        </w:numPr>
        <w:pStyle w:val="Compact"/>
      </w:pPr>
      <w:r>
        <w:t xml:space="preserve">Commercial unit footprint: the device requires approximately</w:t>
      </w:r>
      <w:r>
        <w:t xml:space="preserve"> </w:t>
      </w:r>
      <w:r>
        <w:rPr>
          <w:b/>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numPr>
          <w:ilvl w:val="0"/>
          <w:numId w:val="1003"/>
        </w:numPr>
        <w:pStyle w:val="Compact"/>
      </w:pPr>
      <w:r>
        <w:t xml:space="preserve">Manufacturing and lead times: units are built in Phoenix in limited batches, which is why consumer copy refers to limited batches and to ship times running a few weeks.</w:t>
      </w:r>
      <w:r>
        <w:t xml:space="preserve"> </w:t>
      </w:r>
      <w:r>
        <w:rPr>
          <w:b/>
        </w:rPr>
        <w:t xml:space="preserve">Never quote a batch size or a specific lead time.</w:t>
      </w:r>
      <w:r>
        <w:t xml:space="preserve"> </w:t>
      </w:r>
      <w:r>
        <w:t xml:space="preserve">Both move with funding and production capacity, so any figure written down would keep being stated confidently after it stopped being true. “Limited batches” holds at any batch size and is the approved phrasing. Escalate lead-time questions to Scott.</w:t>
      </w:r>
    </w:p>
    <w:p>
      <w:pPr>
        <w:numPr>
          <w:ilvl w:val="0"/>
          <w:numId w:val="1003"/>
        </w:numPr>
        <w:pStyle w:val="Compact"/>
      </w:pPr>
      <w:r>
        <w:t xml:space="preserve">OEM white-label (Lumanova / Luma D Light): same MSRP, wholesale arrangement.</w:t>
      </w:r>
    </w:p>
    <w:p>
      <w:pPr>
        <w:numPr>
          <w:ilvl w:val="0"/>
          <w:numId w:val="1003"/>
        </w:numPr>
        <w:pStyle w:val="Compact"/>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numPr>
          <w:ilvl w:val="0"/>
          <w:numId w:val="1003"/>
        </w:numPr>
        <w:pStyle w:val="Compact"/>
      </w:pPr>
      <w:r>
        <w:t xml:space="preserve">Commercial model: operators charge clients</w:t>
      </w:r>
      <w:r>
        <w:t xml:space="preserve"> </w:t>
      </w:r>
      <w:r>
        <w:rPr>
          <w:b/>
        </w:rPr>
        <w:t xml:space="preserve">$49 to $125 per month</w:t>
      </w:r>
      <w:r>
        <w:t xml:space="preserve"> </w:t>
      </w:r>
      <w:r>
        <w:t xml:space="preserve">for Enyrgy access.</w:t>
      </w:r>
      <w:r>
        <w:t xml:space="preserve"> </w:t>
      </w:r>
      <w:r>
        <w:rPr>
          <w:b/>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numPr>
          <w:ilvl w:val="1"/>
          <w:numId w:val="1005"/>
        </w:numPr>
        <w:pStyle w:val="Compact"/>
      </w:pPr>
      <w:r>
        <w:t xml:space="preserve">At $49 per month: 25 clients is $1,225 per month ($14,700 per year); 50 clients is $2,450 per month ($29,400 per year); 100 clients is $4,900 per month ($58,800 per year). Against the $8,950 unit cost, payback at 50 clients is under 4 months.</w:t>
      </w:r>
    </w:p>
    <w:p>
      <w:pPr>
        <w:numPr>
          <w:ilvl w:val="1"/>
          <w:numId w:val="1005"/>
        </w:numPr>
        <w:pStyle w:val="Compact"/>
      </w:pPr>
      <w:r>
        <w:t xml:space="preserve">At $125 per month: 25 clients is $3,125 per month ($37,500 per year); 50 clients is $6,250 per month ($75,000 per year); 100 clients is $12,500 per month ($150,000 per year). Payback at 50 clients is about 6 weeks.</w:t>
      </w:r>
    </w:p>
    <w:p>
      <w:pPr>
        <w:numPr>
          <w:ilvl w:val="0"/>
          <w:numId w:val="1003"/>
        </w:numPr>
        <w:pStyle w:val="Compact"/>
      </w:pPr>
      <w:r>
        <w:t xml:space="preserve">Commercial delivery model: the market is moving away from per-modality add-on pricing toward</w:t>
      </w:r>
      <w:r>
        <w:t xml:space="preserve"> </w:t>
      </w:r>
      <w:r>
        <w:rPr>
          <w:b/>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p>
      <w:pPr>
        <w:pStyle w:val="Heading1"/>
      </w:pPr>
      <w:bookmarkStart w:id="23" w:name="clinical-and-credibility-data"/>
      <w:r>
        <w:t xml:space="preserve">4. Clinical and credibility data</w:t>
      </w:r>
      <w:bookmarkEnd w:id="23"/>
    </w:p>
    <w:p>
      <w:pPr>
        <w:numPr>
          <w:ilvl w:val="0"/>
          <w:numId w:val="1006"/>
        </w:numPr>
        <w:pStyle w:val="Compact"/>
      </w:pPr>
      <w:r>
        <w:t xml:space="preserve">Clinical study result: 12-week study; average Vitamin D increase of 111 percent (participants went from an average of 39.96 ng/mL to 84.20 ng/mL); 100 percent of participants reached optimal Vitamin D levels.</w:t>
      </w:r>
    </w:p>
    <w:p>
      <w:pPr>
        <w:numPr>
          <w:ilvl w:val="0"/>
          <w:numId w:val="1006"/>
        </w:numPr>
        <w:pStyle w:val="Compact"/>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numPr>
          <w:ilvl w:val="0"/>
          <w:numId w:val="1006"/>
        </w:numPr>
        <w:pStyle w:val="Compact"/>
      </w:pPr>
      <w:r>
        <w:rPr>
          <w:b/>
        </w:rPr>
        <w:t xml:space="preserve">Never call it a pilot.</w:t>
      </w:r>
      <w:r>
        <w:t xml:space="preserve"> </w:t>
      </w:r>
      <w:r>
        <w:t xml:space="preserve">Use study, small study, or observational cohort. “Pilot” implies a pre-launch or beta program, and this study ran months after Enyrgy went to full production in the market. The word understates the product’s maturity while doing nothing to improve the honesty of the caveat, which “small, N = 5, no control group” already carries in full.</w:t>
      </w:r>
    </w:p>
    <w:p>
      <w:pPr>
        <w:numPr>
          <w:ilvl w:val="0"/>
          <w:numId w:val="1006"/>
        </w:numPr>
        <w:pStyle w:val="Compact"/>
      </w:pPr>
      <w:r>
        <w:rPr>
          <w:b/>
        </w:rPr>
        <w:t xml:space="preserve">Write “the five participants,” not “five participants.”</w:t>
      </w:r>
      <w:r>
        <w:t xml:space="preserve"> </w:t>
      </w:r>
      <w:r>
        <w:t xml:space="preserve">Without the article the sentence reads as though a larger cohort was studied and only five of them responded.</w:t>
      </w:r>
    </w:p>
    <w:p>
      <w:pPr>
        <w:numPr>
          <w:ilvl w:val="0"/>
          <w:numId w:val="1006"/>
        </w:numPr>
        <w:pStyle w:val="Compact"/>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numPr>
          <w:ilvl w:val="0"/>
          <w:numId w:val="1006"/>
        </w:numPr>
        <w:pStyle w:val="Compact"/>
      </w:pPr>
      <w:r>
        <w:t xml:space="preserve">Efficiency: 2.4x more efficient than sunlight for Vitamin D synthesis; 2 to 4 minutes equals 2 to 4 hours of mid-day sun (about 60x).</w:t>
      </w:r>
    </w:p>
    <w:p>
      <w:pPr>
        <w:numPr>
          <w:ilvl w:val="0"/>
          <w:numId w:val="1006"/>
        </w:numPr>
        <w:pStyle w:val="Compact"/>
      </w:pPr>
      <w:r>
        <w:t xml:space="preserve">Safety:</w:t>
      </w:r>
      <w:r>
        <w:t xml:space="preserve"> </w:t>
      </w:r>
      <w:r>
        <w:rPr>
          <w:b/>
        </w:rPr>
        <w:t xml:space="preserve">the contraindication list and the rules for inbound health questions are in section 16, and they govern any conversation where a person names a condition, an injury, or a medication.</w:t>
      </w:r>
      <w:r>
        <w:t xml:space="preserve"> </w:t>
      </w:r>
      <w:r>
        <w:t xml:space="preserve">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 “2 to 4 minutes a day” is accurate.</w:t>
      </w:r>
    </w:p>
    <w:p>
      <w:pPr>
        <w:numPr>
          <w:ilvl w:val="0"/>
          <w:numId w:val="1006"/>
        </w:numPr>
        <w:pStyle w:val="Compact"/>
      </w:pPr>
      <w:r>
        <w:t xml:space="preserve">Return rate under 1 percent, roughly 5 to 10x better than the industry average.</w:t>
      </w:r>
    </w:p>
    <w:p>
      <w:pPr>
        <w:pStyle w:val="Heading2"/>
      </w:pPr>
      <w:bookmarkStart w:id="24" w:name="X348ceaeaf7c4d682e7f80c59634d85e8a3d0daf"/>
      <w:r>
        <w:t xml:space="preserve">Athlete and bone-health research (supports the Recovery Protocol and the Athlete ICP)</w:t>
      </w:r>
      <w:bookmarkEnd w:id="24"/>
    </w:p>
    <w:p>
      <w:pPr>
        <w:pStyle w:val="FirstParagraph"/>
      </w:pPr>
      <w:r>
        <w:t xml:space="preserve">These are findings from the general peer-reviewed literature on UVB and natural vitamin D synthesis, NOT clinical trials of the Enyrgy device. Cite as “research shows,” attribute to the study, and do not claim the Enyrgy device itself was tested for these outcomes. Keep it non-medical (Enyrgy is a wellness device): describe how vitamin D supports bone and recovery; never “treat”, “heal”, “cure”, or “fix”. Do not overstate (“proves”, “definitively superior”, “conclusive”); the studies support the mechanism, they are not device trials. Full compilation on file (Research/Bone Health).</w:t>
      </w:r>
    </w:p>
    <w:p>
      <w:pPr>
        <w:pStyle w:val="BodyText"/>
      </w:pPr>
      <w:r>
        <w:t xml:space="preserve">Approved figures with sources: -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 - Performance threshold: peak neuromuscular performance is associated with 25(OH)D around 50 ng/mL (Shuler et al., Sports Health 2012). - UVB vs pills: narrowband UVB three times per week raised vitamin D more effectively than 1600 IU per day of oral D3 in a randomized trial (Bogh et al., British Journal of Dermatology 2012). - Source share and half-life: UVB contributes roughly 80 to 90 percent of circulating 25(OH)D (diet and supplements 10 to 20 percent), with a longer half-life, about 21 to 30 days (Owens et al., Sports Medicine 2018; Holick et al., JBMR 2007). -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 - Fracture healing: natural vitamin D synthesis supports bone callus formation and mineralization at fracture sites (Fischer et al., ECM 2018). - Dosing reference used in the research: roughly 10 to 15 minutes of midday sun, three times per week. -</w:t>
      </w:r>
      <w:r>
        <w:t xml:space="preserve"> </w:t>
      </w:r>
      <w:r>
        <w:rPr>
          <w:b/>
        </w:rPr>
        <w:t xml:space="preserve">Prevalence, the citable number. This supersedes the previously unsourced “77 percent” figure.</w:t>
      </w:r>
      <w:r>
        <w:t xml:space="preserve"> </w:t>
      </w:r>
      <w:r>
        <w:t xml:space="preserve">In a 2023 pooled analysis of 308 population-based studies across 81 countries and 7.9 million participants aged 1 and over,</w:t>
      </w:r>
      <w:r>
        <w:t xml:space="preserve"> </w:t>
      </w:r>
      <w:r>
        <w:rPr>
          <w:b/>
        </w:rPr>
        <w:t xml:space="preserve">76.6 percent had serum 25(OH)D below 30 ng/mL</w:t>
      </w:r>
      <w:r>
        <w:t xml:space="preserve"> </w:t>
      </w:r>
      <w:r>
        <w:t xml:space="preserve">(75 nmol/L; 95% CrI 74.0 to 79.1). Also reported: 47.9 percent below 20 ng/mL and 15.7 percent below 12 ng/mL. (Cui A, Zhang T, Xiao P, Fan Z, Wang H, Zhuang Y. “Global and regional prevalence of vitamin D deficiency in population-based studies from 2000 to 2022.”</w:t>
      </w:r>
      <w:r>
        <w:t xml:space="preserve"> </w:t>
      </w:r>
      <w:r>
        <w:rPr>
          <w:i/>
        </w:rPr>
        <w:t xml:space="preserve">Frontiers in Nutrition</w:t>
      </w:r>
      <w:r>
        <w:t xml:space="preserve"> </w:t>
      </w:r>
      <w:r>
        <w:t xml:space="preserve">2023; PMC10064807, free to read.)</w:t>
      </w:r>
      <w:r>
        <w:t xml:space="preserve"> </w:t>
      </w:r>
      <w:r>
        <w:rPr>
          <w:b/>
        </w:rPr>
        <w:t xml:space="preserve">Three rules for stating it.</w:t>
      </w:r>
      <w:r>
        <w:t xml:space="preserve"> </w:t>
      </w:r>
      <w:r>
        <w:t xml:space="preserve">(1) Below 30 ng/mL is</w:t>
      </w:r>
      <w:r>
        <w:t xml:space="preserve"> </w:t>
      </w:r>
      <w:r>
        <w:rPr>
          <w:b/>
        </w:rPr>
        <w:t xml:space="preserve">insufficiency or low vitamin D status</w:t>
      </w:r>
      <w:r>
        <w:t xml:space="preserve">, not universally accepted “deficiency”. Never call 76.6 percent a deficiency rate. (2) The population is</w:t>
      </w:r>
      <w:r>
        <w:t xml:space="preserve"> </w:t>
      </w:r>
      <w:r>
        <w:rPr>
          <w:b/>
        </w:rPr>
        <w:t xml:space="preserve">global and aged 1 and over</w:t>
      </w:r>
      <w:r>
        <w:t xml:space="preserve">, so say “people”, never “adults”, never “Americans”, never “indoor”. (3) The authors report high heterogeneity between pooled studies; do not present the figure as a precise national rate.</w:t>
      </w:r>
      <w:r>
        <w:t xml:space="preserve"> </w:t>
      </w:r>
      <w:r>
        <w:rPr>
          <w:b/>
        </w:rPr>
        <w:t xml:space="preserve">Approved short forms:</w:t>
      </w:r>
      <w:r>
        <w:t xml:space="preserve"> </w:t>
      </w:r>
      <w:r>
        <w:t xml:space="preserve">“about three-quarters of people have vitamin D below 30 ng/mL” or “76.6 percent of people worldwide are below 30 ng/mL”. -</w:t>
      </w:r>
      <w:r>
        <w:t xml:space="preserve"> </w:t>
      </w:r>
      <w:r>
        <w:rPr>
          <w:b/>
        </w:rPr>
        <w:t xml:space="preserve">Sunny climates do not prevent it (use this for the sun objection):</w:t>
      </w:r>
      <w:r>
        <w:t xml:space="preserve"> </w:t>
      </w:r>
      <w:r>
        <w:t xml:space="preserve">low vitamin D status is a problem even in countries with sun exposure all year round (Palacios C, Gonzalez L. “Is vitamin D deficiency a major global public health problem?”</w:t>
      </w:r>
      <w:r>
        <w:t xml:space="preserve"> </w:t>
      </w:r>
      <w:r>
        <w:rPr>
          <w:i/>
        </w:rPr>
        <w:t xml:space="preserve">J Steroid Biochem Mol Biol</w:t>
      </w:r>
      <w:r>
        <w:t xml:space="preserve"> </w:t>
      </w:r>
      <w:r>
        <w:t xml:space="preserve">2014; PMC4018438, free to read). The paper’s own Highlights state it verbatim:</w:t>
      </w:r>
      <w:r>
        <w:t xml:space="preserve"> </w:t>
      </w:r>
      <w:r>
        <w:rPr>
          <w:b/>
        </w:rPr>
        <w:t xml:space="preserve">“Low vitamin D status is a problem even in countries with sun exposure all year round.”</w:t>
      </w:r>
      <w:r>
        <w:t xml:space="preserve"> </w:t>
      </w:r>
      <w:r>
        <w:t xml:space="preserve">Quote that line as written.</w:t>
      </w:r>
      <w:r>
        <w:t xml:space="preserve"> </w:t>
      </w:r>
      <w:r>
        <w:rPr>
          <w:b/>
        </w:rPr>
        <w:t xml:space="preserve">Three limits.</w:t>
      </w:r>
      <w:r>
        <w:t xml:space="preserve"> </w:t>
      </w:r>
      <w:r>
        <w:t xml:space="preserve">(1) It reports prevalence by region, age group and threshold and gives no single headline figure, so it CANNOT source the 77 percent. (2) It says nothing about UVB devices or phototherapy, so never present it as support for the platform itself, only for the problem. (3) 2014 data: fine for establishing that the phenomenon exists, not for current prevalence.</w:t>
      </w:r>
    </w:p>
    <w:p>
      <w:pPr>
        <w:pStyle w:val="Heading1"/>
      </w:pPr>
      <w:bookmarkStart w:id="25" w:name="advisory-board"/>
      <w:r>
        <w:t xml:space="preserve">5. Advisory board</w:t>
      </w:r>
      <w:bookmarkEnd w:id="25"/>
    </w:p>
    <w:p>
      <w:pPr>
        <w:pStyle w:val="FirstParagraph"/>
      </w:pPr>
      <w:r>
        <w:t xml:space="preserve">Scientific Advisory Board, approved bios (use as written; do not embellish beyond these):</w:t>
      </w:r>
    </w:p>
    <w:p>
      <w:pPr>
        <w:numPr>
          <w:ilvl w:val="0"/>
          <w:numId w:val="1007"/>
        </w:numPr>
        <w:pStyle w:val="Compact"/>
      </w:pPr>
      <w:r>
        <w:rPr>
          <w:b/>
        </w:rPr>
        <w:t xml:space="preserve">Dr. Bruce Hollis:</w:t>
      </w:r>
      <w:r>
        <w:t xml:space="preserve"> </w:t>
      </w:r>
      <w:r>
        <w:t xml:space="preserve">over 70,000 citations, widely regarded as the Godfather of Vitamin D Research.</w:t>
      </w:r>
      <w:r>
        <w:t xml:space="preserve"> </w:t>
      </w:r>
      <w:r>
        <w:rPr>
          <w:b/>
        </w:rPr>
        <w:t xml:space="preserve">Over forty years on vitamin D research</w:t>
      </w:r>
      <w:r>
        <w:t xml:space="preserve">, much of it on the difference between oral supplementation and UVB-synthesized vitamin D. He has reviewed and endorsed the Enyrgy platform.</w:t>
      </w:r>
    </w:p>
    <w:p>
      <w:pPr>
        <w:numPr>
          <w:ilvl w:val="0"/>
          <w:numId w:val="1007"/>
        </w:numPr>
        <w:pStyle w:val="Compact"/>
      </w:pPr>
      <w:r>
        <w:rPr>
          <w:b/>
        </w:rPr>
        <w:t xml:space="preserve">Dr. Samantha Kimball:</w:t>
      </w:r>
      <w:r>
        <w:t xml:space="preserve"> </w:t>
      </w:r>
      <w:r>
        <w:t xml:space="preserve">designed the MED protocol that powers every session; a leading researcher in UV therapy safety.</w:t>
      </w:r>
      <w:r>
        <w:t xml:space="preserve"> </w:t>
      </w:r>
      <w:r>
        <w:rPr>
          <w:b/>
        </w:rPr>
        <w:t xml:space="preserve">Over 100 peer-reviewed papers and two decades in the field.</w:t>
      </w:r>
    </w:p>
    <w:p>
      <w:pPr>
        <w:numPr>
          <w:ilvl w:val="0"/>
          <w:numId w:val="1007"/>
        </w:numPr>
        <w:pStyle w:val="Compact"/>
      </w:pPr>
      <w:r>
        <w:rPr>
          <w:b/>
        </w:rPr>
        <w:t xml:space="preserve">Dr. William Grant:</w:t>
      </w:r>
      <w:r>
        <w:t xml:space="preserve"> </w:t>
      </w:r>
      <w:r>
        <w:t xml:space="preserve">NASA UVB researcher and pioneer in phototherapy science.</w:t>
      </w:r>
      <w:r>
        <w:t xml:space="preserve"> </w:t>
      </w:r>
      <w:r>
        <w:rPr>
          <w:b/>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 “advisory board includes Dr. Bruce Hollis.” Compliance note: any public claim that an advisor “reviewed and endorsed” the platform must have the advisor’s documented consent on file, per FTC endorsement rules.</w:t>
      </w:r>
    </w:p>
    <w:p>
      <w:pPr>
        <w:pStyle w:val="Heading1"/>
      </w:pPr>
      <w:bookmarkStart w:id="26" w:name="X2416962bbe798b4d07d64a796f71649a000b8ee"/>
      <w:r>
        <w:t xml:space="preserve">6. Approved talking points (voiced, use as written)</w:t>
      </w:r>
      <w:bookmarkEnd w:id="26"/>
    </w:p>
    <w:p>
      <w:pPr>
        <w:numPr>
          <w:ilvl w:val="0"/>
          <w:numId w:val="1008"/>
        </w:numPr>
        <w:pStyle w:val="Compact"/>
      </w:pPr>
      <w:r>
        <w:t xml:space="preserve">Every human body was meant to thrive on sunlight. We just made it safe, personalized and controllable. (Standard Description, do not alter.)</w:t>
      </w:r>
    </w:p>
    <w:p>
      <w:pPr>
        <w:numPr>
          <w:ilvl w:val="0"/>
          <w:numId w:val="1008"/>
        </w:numPr>
        <w:pStyle w:val="Compact"/>
      </w:pPr>
      <w:r>
        <w:t xml:space="preserve">Get your body responding to sunlight the way it was meant to.</w:t>
      </w:r>
    </w:p>
    <w:p>
      <w:pPr>
        <w:numPr>
          <w:ilvl w:val="0"/>
          <w:numId w:val="1008"/>
        </w:numPr>
        <w:pStyle w:val="Compact"/>
      </w:pPr>
      <w:r>
        <w:t xml:space="preserve">Three biological pathways, switched on in 2 to 4 minutes.</w:t>
      </w:r>
    </w:p>
    <w:p>
      <w:pPr>
        <w:numPr>
          <w:ilvl w:val="0"/>
          <w:numId w:val="1008"/>
        </w:numPr>
        <w:pStyle w:val="Compact"/>
      </w:pPr>
      <w:r>
        <w:t xml:space="preserve">25,000+ sessions with zero adverse events.</w:t>
      </w:r>
    </w:p>
    <w:p>
      <w:pPr>
        <w:numPr>
          <w:ilvl w:val="0"/>
          <w:numId w:val="1008"/>
        </w:numPr>
        <w:pStyle w:val="Compact"/>
      </w:pPr>
      <w:r>
        <w:t xml:space="preserve">In our clinical study, 100 percent of participants reached optimal Vitamin D levels.</w:t>
      </w:r>
    </w:p>
    <w:p>
      <w:pPr>
        <w:numPr>
          <w:ilvl w:val="0"/>
          <w:numId w:val="1008"/>
        </w:numPr>
        <w:pStyle w:val="Compact"/>
      </w:pPr>
      <w:r>
        <w:t xml:space="preserve">2.4x more efficient than sunlight for Vitamin D synthesis.</w:t>
      </w:r>
    </w:p>
    <w:p>
      <w:pPr>
        <w:numPr>
          <w:ilvl w:val="0"/>
          <w:numId w:val="1008"/>
        </w:numPr>
        <w:pStyle w:val="Compact"/>
      </w:pPr>
      <w:r>
        <w:t xml:space="preserve">The app determines your skin type, sets your dose, and ends the session for you.</w:t>
      </w:r>
    </w:p>
    <w:p>
      <w:pPr>
        <w:numPr>
          <w:ilvl w:val="0"/>
          <w:numId w:val="1008"/>
        </w:numPr>
        <w:pStyle w:val="Compact"/>
      </w:pPr>
      <w:r>
        <w:t xml:space="preserve">Under 1 percent of people send it back. The industry lives at 5 to 10 percent.</w:t>
      </w:r>
    </w:p>
    <w:p>
      <w:pPr>
        <w:numPr>
          <w:ilvl w:val="0"/>
          <w:numId w:val="1008"/>
        </w:numPr>
        <w:pStyle w:val="Compact"/>
      </w:pPr>
      <w:r>
        <w:t xml:space="preserve">Built in Phoenix, Arizona. Made in USA.</w:t>
      </w:r>
    </w:p>
    <w:p>
      <w:pPr>
        <w:numPr>
          <w:ilvl w:val="0"/>
          <w:numId w:val="1008"/>
        </w:numPr>
        <w:pStyle w:val="Compact"/>
      </w:pPr>
      <w:r>
        <w:t xml:space="preserve">600+ users, 5 countries, zero paid ads.</w:t>
      </w:r>
    </w:p>
    <w:p>
      <w:pPr>
        <w:numPr>
          <w:ilvl w:val="0"/>
          <w:numId w:val="1008"/>
        </w:numPr>
        <w:pStyle w:val="Compact"/>
      </w:pPr>
      <w:r>
        <w:t xml:space="preserve">Lumanova picked our technology to launch their own light, Luma D Light.</w:t>
      </w:r>
    </w:p>
    <w:p>
      <w:pPr>
        <w:numPr>
          <w:ilvl w:val="0"/>
          <w:numId w:val="1008"/>
        </w:numPr>
        <w:pStyle w:val="Compact"/>
      </w:pPr>
      <w:r>
        <w:t xml:space="preserve">$2,995 to own it at home. $8,950 for the commercial unit.</w:t>
      </w:r>
    </w:p>
    <w:p>
      <w:pPr>
        <w:numPr>
          <w:ilvl w:val="0"/>
          <w:numId w:val="1008"/>
        </w:numPr>
        <w:pStyle w:val="Compact"/>
      </w:pPr>
      <w:r>
        <w:t xml:space="preserve">That is $2.30 a session at 5 a week over 5 years.</w:t>
      </w:r>
    </w:p>
    <w:p>
      <w:pPr>
        <w:numPr>
          <w:ilvl w:val="0"/>
          <w:numId w:val="1008"/>
        </w:numPr>
        <w:pStyle w:val="Compact"/>
      </w:pPr>
      <w:r>
        <w:t xml:space="preserve">90 percent of our customers run red light too. Different jobs, same routine.</w:t>
      </w:r>
    </w:p>
    <w:p>
      <w:pPr>
        <w:numPr>
          <w:ilvl w:val="0"/>
          <w:numId w:val="1008"/>
        </w:numPr>
        <w:pStyle w:val="Compact"/>
      </w:pPr>
      <w:r>
        <w:t xml:space="preserve">Sunlight. Evolved.</w:t>
      </w:r>
    </w:p>
    <w:p>
      <w:pPr>
        <w:pStyle w:val="Heading1"/>
      </w:pPr>
      <w:bookmarkStart w:id="27" w:name="objection-scripts-voiced"/>
      <w:r>
        <w:t xml:space="preserve">7. Objection scripts (voiced)</w:t>
      </w:r>
      <w:bookmarkEnd w:id="27"/>
    </w:p>
    <w:p>
      <w:pPr>
        <w:pStyle w:val="FirstParagraph"/>
      </w:pPr>
      <w:r>
        <w:rPr>
          <w:b/>
        </w:rPr>
        <w:t xml:space="preserve">Consumer</w:t>
      </w:r>
    </w:p>
    <w:p>
      <w:pPr>
        <w:numPr>
          <w:ilvl w:val="0"/>
          <w:numId w:val="1009"/>
        </w:numPr>
        <w:pStyle w:val="Compact"/>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numPr>
          <w:ilvl w:val="0"/>
          <w:numId w:val="1009"/>
        </w:numPr>
        <w:pStyle w:val="Compact"/>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numPr>
          <w:ilvl w:val="0"/>
          <w:numId w:val="1009"/>
        </w:numPr>
        <w:pStyle w:val="Compact"/>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numPr>
          <w:ilvl w:val="0"/>
          <w:numId w:val="1009"/>
        </w:numPr>
        <w:pStyle w:val="Compact"/>
      </w:pPr>
      <w:r>
        <w:t xml:space="preserve">I will just go outside. Going outside works if you have 2 to 4 hours of mid-day sun to spare, plus the UVA aging and skin risk that rides along. Enyrgy gets you there in 2 to 4 minutes, about 60x the efficiency, without the downside.</w:t>
      </w:r>
    </w:p>
    <w:p>
      <w:pPr>
        <w:numPr>
          <w:ilvl w:val="0"/>
          <w:numId w:val="1009"/>
        </w:numPr>
        <w:pStyle w:val="Compact"/>
      </w:pPr>
      <w:r>
        <w:t xml:space="preserve">We get plenty of sun here. Fair assumption, and testing settles it faster than arguing. Indoor work, sunscreen and window glass all block UVB at any latitude. A 2014 global review in the Journal of Steroid Biochemistry and Molecular Biology concluded that low vitamin D status is a problem even in countries with sun exposure all year round.</w:t>
      </w:r>
    </w:p>
    <w:p>
      <w:pPr>
        <w:numPr>
          <w:ilvl w:val="0"/>
          <w:numId w:val="1009"/>
        </w:numPr>
        <w:pStyle w:val="Compact"/>
      </w:pPr>
      <w:r>
        <w:t xml:space="preserve">What does the FDA say? It is a wellness device, not a medical one, and we make no medical claims. The results sit on peer-reviewed science, and our advisory board includes Dr. Bruce Hollis.</w:t>
      </w:r>
    </w:p>
    <w:p>
      <w:pPr>
        <w:pStyle w:val="FirstParagraph"/>
      </w:pPr>
      <w:r>
        <w:rPr>
          <w:b/>
        </w:rPr>
        <w:t xml:space="preserve">Commercial</w:t>
      </w:r>
    </w:p>
    <w:p>
      <w:pPr>
        <w:numPr>
          <w:ilvl w:val="0"/>
          <w:numId w:val="1010"/>
        </w:numPr>
        <w:pStyle w:val="Compact"/>
      </w:pPr>
      <w:r>
        <w:t xml:space="preserve">We already have red light. Ninety percent of our customers use both. They do different biological jobs, so this sits alongside what you already offer instead of replacing it.</w:t>
      </w:r>
    </w:p>
    <w:p>
      <w:pPr>
        <w:numPr>
          <w:ilvl w:val="0"/>
          <w:numId w:val="1010"/>
        </w:numPr>
        <w:pStyle w:val="Compact"/>
      </w:pPr>
      <w:r>
        <w:t xml:space="preserve">Would clients pay? About three-quarters of people have vitamin D below 30 ng/mL, so the demand is already in your book. Operators are charging $49 to $125 a month for it, depending on their market and clientele.</w:t>
      </w:r>
    </w:p>
    <w:p>
      <w:pPr>
        <w:numPr>
          <w:ilvl w:val="0"/>
          <w:numId w:val="1010"/>
        </w:numPr>
        <w:pStyle w:val="Compact"/>
      </w:pPr>
      <w:r>
        <w:t xml:space="preserve">Staff training? It is included, and light. The app calculates each client’s dose and runs the session itself.</w:t>
      </w:r>
    </w:p>
    <w:p>
      <w:pPr>
        <w:pStyle w:val="FirstParagraph"/>
      </w:pPr>
      <w:r>
        <w:rPr>
          <w:b/>
        </w:rPr>
        <w:t xml:space="preserve">Investor</w:t>
      </w:r>
    </w:p>
    <w:p>
      <w:pPr>
        <w:numPr>
          <w:ilvl w:val="0"/>
          <w:numId w:val="1011"/>
        </w:numPr>
        <w:pStyle w:val="Compact"/>
      </w:pPr>
      <w:r>
        <w:t xml:space="preserve">Where is the equity upside? There is a conversion option at a 20 percent discount to an independent SEC valuation.</w:t>
      </w:r>
    </w:p>
    <w:p>
      <w:pPr>
        <w:numPr>
          <w:ilvl w:val="0"/>
          <w:numId w:val="1011"/>
        </w:numPr>
        <w:pStyle w:val="Compact"/>
      </w:pPr>
      <w:r>
        <w:t xml:space="preserve">Is this a crowded market? It looks crowded until you line up the mechanisms. Nobody else delivers all three pathways. We are a category of one.</w:t>
      </w:r>
    </w:p>
    <w:p>
      <w:pPr>
        <w:numPr>
          <w:ilvl w:val="0"/>
          <w:numId w:val="1011"/>
        </w:numPr>
        <w:pStyle w:val="Compact"/>
      </w:pPr>
      <w:r>
        <w:t xml:space="preserve">What is the exit? A strategic acquisition in the $100 to 150M range within 5 years. Natural buyers look like Philips, Apple Health, Peloton, AG1, or LVMH.</w:t>
      </w:r>
    </w:p>
    <w:p>
      <w:pPr>
        <w:pStyle w:val="Heading1"/>
      </w:pPr>
      <w:bookmarkStart w:id="28" w:name="claim-precision-corrected"/>
      <w:r>
        <w:t xml:space="preserve">8. Claim precision (corrected)</w:t>
      </w:r>
      <w:bookmarkEnd w:id="28"/>
    </w:p>
    <w:p>
      <w:pPr>
        <w:pStyle w:val="FirstParagraph"/>
      </w:pPr>
      <w:r>
        <w:t xml:space="preserve">The “one in four” statistic is about RESPONSE, not absorption. Low responders absorb the pill fine; their cells do less with it. Approved wording only:</w:t>
      </w:r>
      <w:r>
        <w:t xml:space="preserve"> </w:t>
      </w:r>
      <w:r>
        <w:rPr>
          <w:b/>
        </w:rPr>
        <w:t xml:space="preserve">“in research clinical trials, about one in four participants were low responders to vitamin D supplementation”</w:t>
      </w:r>
      <w:r>
        <w:t xml:space="preserve">. Do NOT write “in these trials” or “in the trials” in copy: lifted out of this KB the citation stays behind and the phrase reads as though Enyrgy ran them. Investor-facing copy may name them as the Carlberg trials. (Carlberg, VitDmet and VitDbol trials, Nutrients 2023, 15(15):3382). Never say “one in four cannot absorb,” “supplements fail one in four,” or “one in four Americans.” This supersedes the older phrasing in Implementation Guide v3.9 Section 22 (Session 8 correction). Every claim must be exactly as verifiable as stated: no superlatives, no inflation, no unverifiable characterizations.</w:t>
      </w:r>
    </w:p>
    <w:p>
      <w:pPr>
        <w:pStyle w:val="Heading1"/>
      </w:pPr>
      <w:bookmarkStart w:id="29" w:name="brand-constants-locked"/>
      <w:r>
        <w:t xml:space="preserve">9. Brand constants (locked)</w:t>
      </w:r>
      <w:bookmarkEnd w:id="29"/>
    </w:p>
    <w:p>
      <w:pPr>
        <w:numPr>
          <w:ilvl w:val="0"/>
          <w:numId w:val="1012"/>
        </w:numPr>
        <w:pStyle w:val="Compact"/>
      </w:pPr>
      <w:r>
        <w:t xml:space="preserve">Accent: Sunrise Orange #E64C38 only. No violet, purple, or amber.</w:t>
      </w:r>
    </w:p>
    <w:p>
      <w:pPr>
        <w:numPr>
          <w:ilvl w:val="0"/>
          <w:numId w:val="1012"/>
        </w:numPr>
        <w:pStyle w:val="Compact"/>
      </w:pPr>
      <w:r>
        <w:t xml:space="preserve">Typography: Montserrat, all weights.</w:t>
      </w:r>
    </w:p>
    <w:p>
      <w:pPr>
        <w:numPr>
          <w:ilvl w:val="0"/>
          <w:numId w:val="1012"/>
        </w:numPr>
        <w:pStyle w:val="Compact"/>
      </w:pPr>
      <w:r>
        <w:t xml:space="preserve">Text: Deep Charcoal #1A1A1A. Panels: Warm Off-White #F7F4EE, Calm Beige #ECE4CF. Line #E2DBC9. Muted #6B6B66.</w:t>
      </w:r>
    </w:p>
    <w:p>
      <w:pPr>
        <w:numPr>
          <w:ilvl w:val="0"/>
          <w:numId w:val="1012"/>
        </w:numPr>
        <w:pStyle w:val="Compact"/>
      </w:pPr>
      <w:r>
        <w:t xml:space="preserve">Tagline: “Sunlight. Evolved.”</w:t>
      </w:r>
    </w:p>
    <w:p>
      <w:pPr>
        <w:numPr>
          <w:ilvl w:val="0"/>
          <w:numId w:val="1012"/>
        </w:numPr>
        <w:pStyle w:val="Compact"/>
      </w:pPr>
      <w:r>
        <w:t xml:space="preserve">Voice: peer-to-peer, founder-to-peer. No em-dashes ever; use a comma, period, or rewrite. No icons or decorative glyphs.</w:t>
      </w:r>
    </w:p>
    <w:p>
      <w:pPr>
        <w:numPr>
          <w:ilvl w:val="0"/>
          <w:numId w:val="1012"/>
        </w:numPr>
        <w:pStyle w:val="Compact"/>
      </w:pPr>
      <w:r>
        <w:t xml:space="preserve">Age minimum for all audiences: 18.</w:t>
      </w:r>
    </w:p>
    <w:p>
      <w:pPr>
        <w:pStyle w:val="Heading1"/>
      </w:pPr>
      <w:bookmarkStart w:id="30" w:name="X29fd5ad5ba47d28e168b82835ce779321403abb"/>
      <w:r>
        <w:t xml:space="preserve">10. Nitric oxide framing (enforce on every asset)</w:t>
      </w:r>
      <w:bookmarkEnd w:id="30"/>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 “no supplement produces nitric oxide” is false framing and must never be used.</w:t>
      </w:r>
    </w:p>
    <w:p>
      <w:pPr>
        <w:pStyle w:val="Heading1"/>
      </w:pPr>
      <w:bookmarkStart w:id="31" w:name="prohibited-words-compliance"/>
      <w:r>
        <w:t xml:space="preserve">11. Prohibited words (compliance)</w:t>
      </w:r>
      <w:bookmarkEnd w:id="31"/>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rPr>
        <w:t xml:space="preserve">Enyrgy is a wellness device, not medical, and makes no medical claims.</w:t>
      </w:r>
    </w:p>
    <w:p>
      <w:pPr>
        <w:pStyle w:val="BodyText"/>
      </w:pPr>
      <w:r>
        <w:rPr>
          <w:b/>
        </w:rPr>
        <w:t xml:space="preserve">One exemption: the contraindication list in section 16.</w:t>
      </w:r>
      <w:r>
        <w:t xml:space="preserve"> </w:t>
      </w:r>
      <w:r>
        <w:t xml:space="preserve">It is a safety disclosure and must go out verbatim, “diagnosed” and all. Scrubbing it to pass this scan breaks it.</w:t>
      </w:r>
    </w:p>
    <w:p>
      <w:pPr>
        <w:pStyle w:val="Heading1"/>
      </w:pPr>
      <w:bookmarkStart w:id="32" w:name="X3b2ee3b0312272551b8ea402502772f453681e0"/>
      <w:r>
        <w:t xml:space="preserve">12. Attorney-confirmed compliance rule (verbatim, non-negotiable)</w:t>
      </w:r>
      <w:bookmarkEnd w:id="32"/>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p>
      <w:pPr>
        <w:pStyle w:val="Heading1"/>
      </w:pPr>
      <w:bookmarkStart w:id="33" w:name="investor-offering-details"/>
      <w:r>
        <w:t xml:space="preserve">13. Investor offering details</w:t>
      </w:r>
      <w:bookmarkEnd w:id="33"/>
    </w:p>
    <w:p>
      <w:pPr>
        <w:numPr>
          <w:ilvl w:val="0"/>
          <w:numId w:val="1013"/>
        </w:numPr>
        <w:pStyle w:val="Compact"/>
      </w:pPr>
      <w:r>
        <w:t xml:space="preserve">Structure: Private Credit, Promissory Note.</w:t>
      </w:r>
    </w:p>
    <w:p>
      <w:pPr>
        <w:numPr>
          <w:ilvl w:val="0"/>
          <w:numId w:val="1013"/>
        </w:numPr>
        <w:pStyle w:val="Compact"/>
      </w:pPr>
      <w:r>
        <w:rPr>
          <w:b/>
        </w:rPr>
        <w:t xml:space="preserve">Current company valuation: $10M.</w:t>
      </w:r>
      <w:r>
        <w:t xml:space="preserve"> </w:t>
      </w:r>
      <w:r>
        <w:t xml:space="preserve">This is the company’s present valuation. It is</w:t>
      </w:r>
      <w:r>
        <w:t xml:space="preserve"> </w:t>
      </w:r>
      <w:r>
        <w:rPr>
          <w:b/>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numPr>
          <w:ilvl w:val="0"/>
          <w:numId w:val="1013"/>
        </w:numPr>
        <w:pStyle w:val="Compact"/>
      </w:pPr>
      <w:r>
        <w:t xml:space="preserve">Total raise: $3.5M. Minimum: $50,000. Return: 12 percent per annum. Term: 3 years.</w:t>
      </w:r>
    </w:p>
    <w:p>
      <w:pPr>
        <w:numPr>
          <w:ilvl w:val="0"/>
          <w:numId w:val="1013"/>
        </w:numPr>
        <w:pStyle w:val="Compact"/>
      </w:pPr>
      <w:r>
        <w:t xml:space="preserve">Interest paid quarterly (postponed the first 3 months).</w:t>
      </w:r>
    </w:p>
    <w:p>
      <w:pPr>
        <w:numPr>
          <w:ilvl w:val="0"/>
          <w:numId w:val="1013"/>
        </w:numPr>
        <w:pStyle w:val="Compact"/>
      </w:pPr>
      <w:r>
        <w:t xml:space="preserve">Conversion option: at investor discretion, 20 percent discount from an independent SEC valuation.</w:t>
      </w:r>
    </w:p>
    <w:p>
      <w:pPr>
        <w:numPr>
          <w:ilvl w:val="0"/>
          <w:numId w:val="1013"/>
        </w:numPr>
        <w:pStyle w:val="Compact"/>
      </w:pPr>
      <w:r>
        <w:t xml:space="preserve">Exit target: $100 to 150M in 5 years.</w:t>
      </w:r>
    </w:p>
    <w:p>
      <w:pPr>
        <w:numPr>
          <w:ilvl w:val="0"/>
          <w:numId w:val="1013"/>
        </w:numPr>
        <w:pStyle w:val="Compact"/>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p>
      <w:pPr>
        <w:pStyle w:val="Heading1"/>
      </w:pPr>
      <w:bookmarkStart w:id="34" w:name="oem-partner-lumanova-luma-d-light"/>
      <w:r>
        <w:t xml:space="preserve">14. OEM partner (Lumanova / Luma D Light)</w:t>
      </w:r>
      <w:bookmarkEnd w:id="34"/>
    </w:p>
    <w:p>
      <w:pPr>
        <w:numPr>
          <w:ilvl w:val="0"/>
          <w:numId w:val="1014"/>
        </w:numPr>
        <w:pStyle w:val="Compact"/>
      </w:pPr>
      <w:r>
        <w:t xml:space="preserve">Partner: Lumanova. Product brand: Luma D Light. Pricing: same MSRP ($2,995 / $8,950).</w:t>
      </w:r>
    </w:p>
    <w:p>
      <w:pPr>
        <w:numPr>
          <w:ilvl w:val="0"/>
          <w:numId w:val="1014"/>
        </w:numPr>
        <w:pStyle w:val="Compact"/>
      </w:pPr>
      <w:r>
        <w:t xml:space="preserve">Arrangement: OEM white-label; Lumanova sells under their brand, Enyrgy manufactures. Exclusivity: Black Unit.</w:t>
      </w:r>
    </w:p>
    <w:p>
      <w:pPr>
        <w:numPr>
          <w:ilvl w:val="0"/>
          <w:numId w:val="1014"/>
        </w:numPr>
        <w:pStyle w:val="Compact"/>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numPr>
          <w:ilvl w:val="0"/>
          <w:numId w:val="1014"/>
        </w:numPr>
        <w:pStyle w:val="Compact"/>
      </w:pPr>
      <w:r>
        <w:t xml:space="preserve">Any OEM matter escalates through the CEO to the human founders.</w:t>
      </w:r>
    </w:p>
    <w:p>
      <w:pPr>
        <w:numPr>
          <w:ilvl w:val="0"/>
          <w:numId w:val="1014"/>
        </w:numPr>
        <w:pStyle w:val="Compact"/>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numPr>
          <w:ilvl w:val="0"/>
          <w:numId w:val="1014"/>
        </w:numPr>
        <w:pStyle w:val="Compact"/>
      </w:pPr>
      <w:r>
        <w:rPr>
          <w:b/>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The referral link does not change whose purchase it is.</w:t>
      </w:r>
    </w:p>
    <w:p>
      <w:pPr>
        <w:numPr>
          <w:ilvl w:val="1"/>
          <w:numId w:val="1015"/>
        </w:numPr>
        <w:pStyle w:val="Compact"/>
      </w:pPr>
      <w:r>
        <w:rPr>
          <w:b/>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rPr>
        <w:t xml:space="preserve">must not negotiate, extend, or discuss terms</w:t>
      </w:r>
      <w:r>
        <w:t xml:space="preserve">. Hand off to Scott, same as white-label and distribution. Scott handles referral arrangements personally (decision, Aug 14 2026).</w:t>
      </w:r>
    </w:p>
    <w:p>
      <w:pPr>
        <w:pStyle w:val="Heading1"/>
      </w:pPr>
      <w:bookmarkStart w:id="35" w:name="X4c841973e31ed136422f0c15a4f362a6c73c44a"/>
      <w:r>
        <w:t xml:space="preserve">14b. Commercial dealer program (ESCALATE TO SCOTT)</w:t>
      </w:r>
      <w:bookmarkEnd w:id="35"/>
    </w:p>
    <w:p>
      <w:pPr>
        <w:pStyle w:val="FirstParagraph"/>
      </w:pPr>
      <w:r>
        <w:rPr>
          <w:b/>
        </w:rPr>
        <w:t xml:space="preserve">Agents must not run a dealer conversation.</w:t>
      </w:r>
      <w:r>
        <w:t xml:space="preserve"> </w:t>
      </w:r>
      <w:r>
        <w:t xml:space="preserve">Terms, territory and registration are Scott’s, the same as white-label, distribution and the facility referral arrangement above. An agent may explain that the program exists and hand off. Nothing below is a negotiating position.</w:t>
      </w:r>
    </w:p>
    <w:p>
      <w:pPr>
        <w:pStyle w:val="BodyText"/>
      </w:pPr>
      <w:r>
        <w:rPr>
          <w:b/>
        </w:rPr>
        <w:t xml:space="preserve">What it is.</w:t>
      </w:r>
      <w:r>
        <w:t xml:space="preserve"> </w:t>
      </w:r>
      <w:r>
        <w:t xml:space="preserve">Dealers resell the</w:t>
      </w:r>
      <w:r>
        <w:t xml:space="preserve"> </w:t>
      </w:r>
      <w:r>
        <w:rPr>
          <w:b/>
        </w:rPr>
        <w:t xml:space="preserve">$8,950 commercial unit</w:t>
      </w:r>
      <w:r>
        <w:t xml:space="preserve"> </w:t>
      </w:r>
      <w:r>
        <w:t xml:space="preserve">and earn a commission on the final sale price. This is</w:t>
      </w:r>
      <w:r>
        <w:t xml:space="preserve"> </w:t>
      </w:r>
      <w:r>
        <w:rPr>
          <w:b/>
        </w:rPr>
        <w:t xml:space="preserve">not</w:t>
      </w:r>
      <w:r>
        <w:t xml:space="preserve"> </w:t>
      </w:r>
      <w:r>
        <w:t xml:space="preserve">the facility referral arrangement in section 14, which pays $600 on a $2,995 consumer unit that the member buys directly from Enyrgy. Different product, different terms, different people. Never describe the two in the same breath to a prospect.</w:t>
      </w:r>
    </w:p>
    <w:p>
      <w:pPr>
        <w:pStyle w:val="BodyText"/>
      </w:pPr>
      <w:r>
        <w:rPr>
          <w:b/>
        </w:rPr>
        <w:t xml:space="preserve">Not US-only.</w:t>
      </w:r>
      <w:r>
        <w:t xml:space="preserve"> </w:t>
      </w:r>
      <w:r>
        <w:t xml:space="preserve">Commission is calculated on the actual sale price expressed in</w:t>
      </w:r>
      <w:r>
        <w:t xml:space="preserve"> </w:t>
      </w:r>
      <w:r>
        <w:rPr>
          <w:b/>
        </w:rPr>
        <w:t xml:space="preserve">USD</w:t>
      </w:r>
      <w:r>
        <w:t xml:space="preserve">, whatever the dealer’s local currency.</w:t>
      </w:r>
    </w:p>
    <w:p>
      <w:pPr>
        <w:pStyle w:val="BodyText"/>
      </w:pPr>
      <w:r>
        <w:rPr>
          <w:b/>
        </w:rPr>
        <w:t xml:space="preserve">The commission ladder, tied to the final sale price: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Commission</w:t>
            </w:r>
          </w:p>
        </w:tc>
        <w:tc>
          <w:tcPr>
            <w:tcBorders>
              <w:bottom w:val="single"/>
            </w:tcBorders>
            <w:vAlign w:val="bottom"/>
          </w:tcPr>
          <w:p>
            <w:pPr>
              <w:pStyle w:val="Compact"/>
              <w:jc w:val="left"/>
            </w:pPr>
            <w:r>
              <w:t xml:space="preserve">Maximum discount off MSRP</w:t>
            </w:r>
          </w:p>
        </w:tc>
        <w:tc>
          <w:tcPr>
            <w:tcBorders>
              <w:bottom w:val="single"/>
            </w:tcBorders>
            <w:vAlign w:val="bottom"/>
          </w:tcPr>
          <w:p>
            <w:pPr>
              <w:pStyle w:val="Compact"/>
              <w:jc w:val="left"/>
            </w:pPr>
            <w:r>
              <w:t xml:space="preserve">Resulting price</w:t>
            </w:r>
          </w:p>
        </w:tc>
      </w:tr>
      <w:tr>
        <w:tc>
          <w:p>
            <w:pPr>
              <w:pStyle w:val="Compact"/>
              <w:jc w:val="left"/>
            </w:pPr>
            <w:r>
              <w:t xml:space="preserve">25 percent</w:t>
            </w:r>
          </w:p>
        </w:tc>
        <w:tc>
          <w:p>
            <w:pPr>
              <w:pStyle w:val="Compact"/>
              <w:jc w:val="left"/>
            </w:pPr>
            <w:r>
              <w:t xml:space="preserve">none, sells at MSRP</w:t>
            </w:r>
          </w:p>
        </w:tc>
        <w:tc>
          <w:p>
            <w:pPr>
              <w:pStyle w:val="Compact"/>
              <w:jc w:val="left"/>
            </w:pPr>
            <w:r>
              <w:t xml:space="preserve">$8,950</w:t>
            </w:r>
          </w:p>
        </w:tc>
      </w:tr>
      <w:tr>
        <w:tc>
          <w:p>
            <w:pPr>
              <w:pStyle w:val="Compact"/>
              <w:jc w:val="left"/>
            </w:pPr>
            <w:r>
              <w:t xml:space="preserve">20 percent</w:t>
            </w:r>
          </w:p>
        </w:tc>
        <w:tc>
          <w:p>
            <w:pPr>
              <w:pStyle w:val="Compact"/>
              <w:jc w:val="left"/>
            </w:pPr>
            <w:r>
              <w:t xml:space="preserve">$1,342.50</w:t>
            </w:r>
          </w:p>
        </w:tc>
        <w:tc>
          <w:p>
            <w:pPr>
              <w:pStyle w:val="Compact"/>
              <w:jc w:val="left"/>
            </w:pPr>
            <w:r>
              <w:t xml:space="preserve">$7,607.50</w:t>
            </w:r>
          </w:p>
        </w:tc>
      </w:tr>
      <w:tr>
        <w:tc>
          <w:p>
            <w:pPr>
              <w:pStyle w:val="Compact"/>
              <w:jc w:val="left"/>
            </w:pPr>
            <w:r>
              <w:t xml:space="preserve">16 percent</w:t>
            </w:r>
          </w:p>
        </w:tc>
        <w:tc>
          <w:p>
            <w:pPr>
              <w:pStyle w:val="Compact"/>
              <w:jc w:val="left"/>
            </w:pPr>
            <w:r>
              <w:t xml:space="preserve">$1,790.00</w:t>
            </w:r>
          </w:p>
        </w:tc>
        <w:tc>
          <w:p>
            <w:pPr>
              <w:pStyle w:val="Compact"/>
              <w:jc w:val="left"/>
            </w:pPr>
            <w:r>
              <w:t xml:space="preserve">$7,160.00</w:t>
            </w:r>
          </w:p>
        </w:tc>
      </w:tr>
    </w:tbl>
    <w:p>
      <w:pPr>
        <w:pStyle w:val="BodyText"/>
      </w:pPr>
      <w:r>
        <w:rPr>
          <w:b/>
        </w:rPr>
        <w:t xml:space="preserve">$7,160 is the MAP floor.</w:t>
      </w:r>
      <w:r>
        <w:t xml:space="preserve"> </w:t>
      </w:r>
      <w:r>
        <w:t xml:space="preserve">A deal below it is flagged and pays no commission at all. The dealer discounts against their own commission, which is the point of the structure: they can compete on price, but only with their own margin.</w:t>
      </w:r>
    </w:p>
    <w:p>
      <w:pPr>
        <w:pStyle w:val="BodyText"/>
      </w:pPr>
      <w:r>
        <w:rPr>
          <w:b/>
        </w:rPr>
        <w:t xml:space="preserve">Deal registration.</w:t>
      </w:r>
      <w:r>
        <w:t xml:space="preserve"> </w:t>
      </w:r>
      <w:r>
        <w:t xml:space="preserve">A dealer registers a named facility and holds attribution on it for</w:t>
      </w:r>
      <w:r>
        <w:t xml:space="preserve"> </w:t>
      </w:r>
      <w:r>
        <w:rPr>
          <w:b/>
        </w:rPr>
        <w:t xml:space="preserve">90 days</w:t>
      </w:r>
      <w:r>
        <w:t xml:space="preserve">. Registration runs through a form unique to that dealer, tracked as an Opportunity in the Commercial B2B pipeline. Build detail lives in the Implementation Guide section 12 and</w:t>
      </w:r>
      <w:r>
        <w:t xml:space="preserve"> </w:t>
      </w:r>
      <w:r>
        <w:rPr>
          <w:rStyle w:val="VerbatimChar"/>
        </w:rPr>
        <w:t xml:space="preserve">campaigns/dealer-onboarding.md</w:t>
      </w:r>
      <w:r>
        <w:t xml:space="preserve">; agents need only know that registration exists, that it expires, and that the roster of other dealers is confidential.</w:t>
      </w:r>
    </w:p>
    <w:p>
      <w:pPr>
        <w:pStyle w:val="BodyText"/>
      </w:pPr>
      <w:r>
        <w:rPr>
          <w:b/>
        </w:rPr>
        <w:t xml:space="preserve">Never disclose the dealer roster.</w:t>
      </w:r>
      <w:r>
        <w:t xml:space="preserve"> </w:t>
      </w:r>
      <w:r>
        <w:t xml:space="preserve">Who else sells for Enyrgy, and by inference which territories are covered and how large the network is, is competitive intelligence. Each dealer sees only their own name on their own form, deliberately.</w:t>
      </w:r>
    </w:p>
    <w:p>
      <w:pPr>
        <w:pStyle w:val="Heading1"/>
      </w:pPr>
      <w:bookmarkStart w:id="36" w:name="key-reference-facts-quick-lookup"/>
      <w:r>
        <w:t xml:space="preserve">15. Key reference facts (quick lookup)</w:t>
      </w:r>
      <w:bookmarkEnd w:id="36"/>
    </w:p>
    <w:tbl>
      <w:tblPr>
        <w:tblStyle w:val="Table"/>
        <w:tblW w:type="pct" w:w="5000.0"/>
        <w:tblLook w:firstRow="1"/>
      </w:tblPr>
      <w:tblGrid>
        <w:gridCol w:w="1169"/>
        <w:gridCol w:w="6750"/>
      </w:tblGrid>
      <w:tr>
        <w:trPr>
          <w:cnfStyle w:firstRow="1"/>
        </w:trPr>
        <w:tc>
          <w:tcPr>
            <w:tcBorders>
              <w:bottom w:val="single"/>
            </w:tcBorders>
            <w:vAlign w:val="bottom"/>
          </w:tcPr>
          <w:p>
            <w:pPr>
              <w:pStyle w:val="Compact"/>
              <w:jc w:val="left"/>
            </w:pPr>
            <w:r>
              <w:t xml:space="preserve">Data point</w:t>
            </w:r>
          </w:p>
        </w:tc>
        <w:tc>
          <w:tcPr>
            <w:tcBorders>
              <w:bottom w:val="single"/>
            </w:tcBorders>
            <w:vAlign w:val="bottom"/>
          </w:tcPr>
          <w:p>
            <w:pPr>
              <w:pStyle w:val="Compact"/>
              <w:jc w:val="left"/>
            </w:pPr>
            <w:r>
              <w:t xml:space="preserve">Value</w:t>
            </w:r>
          </w:p>
        </w:tc>
      </w:tr>
      <w:tr>
        <w:tc>
          <w:p>
            <w:pPr>
              <w:pStyle w:val="Compact"/>
              <w:jc w:val="left"/>
            </w:pPr>
            <w:r>
              <w:t xml:space="preserve">Consumer Unit MSRP</w:t>
            </w:r>
          </w:p>
        </w:tc>
        <w:tc>
          <w:p>
            <w:pPr>
              <w:pStyle w:val="Compact"/>
              <w:jc w:val="left"/>
            </w:pPr>
            <w:r>
              <w:t xml:space="preserve">$2,995 (66 percent margin)</w:t>
            </w:r>
          </w:p>
        </w:tc>
      </w:tr>
      <w:tr>
        <w:tc>
          <w:p>
            <w:pPr>
              <w:pStyle w:val="Compact"/>
              <w:jc w:val="left"/>
            </w:pPr>
            <w:r>
              <w:t xml:space="preserve">Commercial Unit MSRP</w:t>
            </w:r>
          </w:p>
        </w:tc>
        <w:tc>
          <w:p>
            <w:pPr>
              <w:pStyle w:val="Compact"/>
              <w:jc w:val="left"/>
            </w:pPr>
            <w:r>
              <w:t xml:space="preserve">$8,950 (78 percent margin)</w:t>
            </w:r>
          </w:p>
        </w:tc>
      </w:tr>
      <w:tr>
        <w:tc>
          <w:p>
            <w:pPr>
              <w:pStyle w:val="Compact"/>
              <w:jc w:val="left"/>
            </w:pPr>
            <w:r>
              <w:t xml:space="preserve">Per-session cost</w:t>
            </w:r>
          </w:p>
        </w:tc>
        <w:tc>
          <w:p>
            <w:pPr>
              <w:pStyle w:val="Compact"/>
              <w:jc w:val="left"/>
            </w:pPr>
            <w:r>
              <w:t xml:space="preserve">$2.30 (5x per week, 5 years)</w:t>
            </w:r>
          </w:p>
        </w:tc>
      </w:tr>
      <w:tr>
        <w:tc>
          <w:p>
            <w:pPr>
              <w:pStyle w:val="Compact"/>
              <w:jc w:val="left"/>
            </w:pPr>
            <w:r>
              <w:t xml:space="preserve">Treatments completed</w:t>
            </w:r>
          </w:p>
        </w:tc>
        <w:tc>
          <w:p>
            <w:pPr>
              <w:pStyle w:val="Compact"/>
              <w:jc w:val="left"/>
            </w:pPr>
            <w:r>
              <w:t xml:space="preserve">25,000+ (zero adverse events)</w:t>
            </w:r>
          </w:p>
        </w:tc>
      </w:tr>
      <w:tr>
        <w:tc>
          <w:p>
            <w:pPr>
              <w:pStyle w:val="Compact"/>
              <w:jc w:val="left"/>
            </w:pPr>
            <w:r>
              <w:t xml:space="preserve">Users</w:t>
            </w:r>
          </w:p>
        </w:tc>
        <w:tc>
          <w:p>
            <w:pPr>
              <w:pStyle w:val="Compact"/>
              <w:jc w:val="left"/>
            </w:pPr>
            <w:r>
              <w:t xml:space="preserve">600+ across 5 countries (</w:t>
            </w:r>
            <w:r>
              <w:rPr>
                <w:b/>
              </w:rPr>
              <w:t xml:space="preserve">say users, not customers</w:t>
            </w:r>
            <w:r>
              <w:t xml:space="preserve">)</w:t>
            </w:r>
          </w:p>
        </w:tc>
      </w:tr>
      <w:tr>
        <w:tc>
          <w:p>
            <w:pPr>
              <w:pStyle w:val="Compact"/>
              <w:jc w:val="left"/>
            </w:pPr>
            <w:r>
              <w:t xml:space="preserve">Return rate</w:t>
            </w:r>
          </w:p>
        </w:tc>
        <w:tc>
          <w:p>
            <w:pPr>
              <w:pStyle w:val="Compact"/>
              <w:jc w:val="left"/>
            </w:pPr>
            <w:r>
              <w:t xml:space="preserve">under 1 percent</w:t>
            </w:r>
          </w:p>
        </w:tc>
      </w:tr>
      <w:tr>
        <w:tc>
          <w:p>
            <w:pPr>
              <w:pStyle w:val="Compact"/>
              <w:jc w:val="left"/>
            </w:pPr>
            <w:r>
              <w:t xml:space="preserve">Clinical result</w:t>
            </w:r>
          </w:p>
        </w:tc>
        <w:tc>
          <w:p>
            <w:pPr>
              <w:pStyle w:val="Compact"/>
              <w:jc w:val="left"/>
            </w:pPr>
            <w:r>
              <w:t xml:space="preserve">+111 percent Vitamin D; 100 percent reached optimal</w:t>
            </w:r>
          </w:p>
        </w:tc>
      </w:tr>
      <w:tr>
        <w:tc>
          <w:p>
            <w:pPr>
              <w:pStyle w:val="Compact"/>
              <w:jc w:val="left"/>
            </w:pPr>
            <w:r>
              <w:t xml:space="preserve">Efficiency vs sunlight</w:t>
            </w:r>
          </w:p>
        </w:tc>
        <w:tc>
          <w:p>
            <w:pPr>
              <w:pStyle w:val="Compact"/>
              <w:jc w:val="left"/>
            </w:pPr>
            <w:r>
              <w:t xml:space="preserve">2.4x; 2 to 4 min equals 2 to 4 hours (about 60x)</w:t>
            </w:r>
          </w:p>
        </w:tc>
      </w:tr>
      <w:tr>
        <w:tc>
          <w:p>
            <w:pPr>
              <w:pStyle w:val="Compact"/>
              <w:jc w:val="left"/>
            </w:pPr>
            <w:r>
              <w:t xml:space="preserve">Red light co-use</w:t>
            </w:r>
          </w:p>
        </w:tc>
        <w:tc>
          <w:p>
            <w:pPr>
              <w:pStyle w:val="Compact"/>
              <w:jc w:val="left"/>
            </w:pPr>
            <w:r>
              <w:t xml:space="preserve">90 percent of customers</w:t>
            </w:r>
          </w:p>
        </w:tc>
      </w:tr>
      <w:tr>
        <w:tc>
          <w:p>
            <w:pPr>
              <w:pStyle w:val="Compact"/>
              <w:jc w:val="left"/>
            </w:pPr>
            <w:r>
              <w:t xml:space="preserve">Referral</w:t>
            </w:r>
          </w:p>
        </w:tc>
        <w:tc>
          <w:p>
            <w:pPr>
              <w:pStyle w:val="Compact"/>
              <w:jc w:val="left"/>
            </w:pPr>
            <w:r>
              <w:t xml:space="preserve">$150 off referee / $100 credit referrer</w:t>
            </w:r>
          </w:p>
        </w:tc>
      </w:tr>
      <w:tr>
        <w:tc>
          <w:p>
            <w:pPr>
              <w:pStyle w:val="Compact"/>
              <w:jc w:val="left"/>
            </w:pPr>
            <w:r>
              <w:t xml:space="preserve">Investor offering</w:t>
            </w:r>
          </w:p>
        </w:tc>
        <w:tc>
          <w:p>
            <w:pPr>
              <w:pStyle w:val="Compact"/>
              <w:jc w:val="left"/>
            </w:pPr>
            <w:r>
              <w:t xml:space="preserve">$3.5M at 12 percent / 3yr, $50K minimum</w:t>
            </w:r>
          </w:p>
        </w:tc>
      </w:tr>
      <w:tr>
        <w:tc>
          <w:p>
            <w:pPr>
              <w:pStyle w:val="Compact"/>
              <w:jc w:val="left"/>
            </w:pPr>
            <w:r>
              <w:t xml:space="preserve">Exit target</w:t>
            </w:r>
          </w:p>
        </w:tc>
        <w:tc>
          <w:p>
            <w:pPr>
              <w:pStyle w:val="Compact"/>
              <w:jc w:val="left"/>
            </w:pPr>
            <w:r>
              <w:t xml:space="preserve">$100 to 150M in 5 years</w:t>
            </w:r>
          </w:p>
        </w:tc>
      </w:tr>
      <w:tr>
        <w:tc>
          <w:p>
            <w:pPr>
              <w:pStyle w:val="Compact"/>
              <w:jc w:val="left"/>
            </w:pPr>
            <w:r>
              <w:t xml:space="preserve">Facility</w:t>
            </w:r>
          </w:p>
        </w:tc>
        <w:tc>
          <w:p>
            <w:pPr>
              <w:pStyle w:val="Compact"/>
              <w:jc w:val="left"/>
            </w:pPr>
            <w:r>
              <w:t xml:space="preserve">5115 N 27th Ave, Bld 66, Phoenix, AZ 85017, Made in USA</w:t>
            </w:r>
          </w:p>
        </w:tc>
      </w:tr>
      <w:tr>
        <w:tc>
          <w:p>
            <w:pPr>
              <w:pStyle w:val="Compact"/>
              <w:jc w:val="left"/>
            </w:pPr>
            <w:r>
              <w:t xml:space="preserve">Dealer commission</w:t>
            </w:r>
          </w:p>
        </w:tc>
        <w:tc>
          <w:p>
            <w:pPr>
              <w:pStyle w:val="Compact"/>
              <w:jc w:val="left"/>
            </w:pPr>
            <w:r>
              <w:t xml:space="preserve">25 / 20 / 16 percent on final sale price, MAP floor $7,160 (section 14b)</w:t>
            </w:r>
          </w:p>
        </w:tc>
      </w:tr>
      <w:tr>
        <w:tc>
          <w:p>
            <w:pPr>
              <w:pStyle w:val="Compact"/>
              <w:jc w:val="left"/>
            </w:pPr>
            <w:r>
              <w:t xml:space="preserve">Facility referral</w:t>
            </w:r>
          </w:p>
        </w:tc>
        <w:tc>
          <w:p>
            <w:pPr>
              <w:pStyle w:val="Compact"/>
              <w:jc w:val="left"/>
            </w:pPr>
            <w:r>
              <w:t xml:space="preserve">$600 per Consumer Unit sale (section 14, escalate to Scott)</w:t>
            </w:r>
          </w:p>
        </w:tc>
      </w:tr>
      <w:tr>
        <w:tc>
          <w:p>
            <w:pPr>
              <w:pStyle w:val="Compact"/>
              <w:jc w:val="left"/>
            </w:pPr>
            <w:r>
              <w:t xml:space="preserve">Commercial model</w:t>
            </w:r>
          </w:p>
        </w:tc>
        <w:tc>
          <w:p>
            <w:pPr>
              <w:pStyle w:val="Compact"/>
              <w:jc w:val="left"/>
            </w:pPr>
            <w:r>
              <w:t xml:space="preserve">$49 to $125/month per client, set by location and clientele; payback under 4 months at 50 clients at $49, about 6 weeks at $125</w:t>
            </w:r>
          </w:p>
        </w:tc>
      </w:tr>
    </w:tbl>
    <w:p>
      <w:pPr>
        <w:pStyle w:val="Heading1"/>
      </w:pPr>
      <w:bookmarkStart w:id="37" w:name="X3c8fab249a12745cd8b0fe4a60814613a930d17"/>
      <w:r>
        <w:t xml:space="preserve">16. Contraindications and inbound health questions (safety, non-negotiable)</w:t>
      </w:r>
      <w:bookmarkEnd w:id="37"/>
    </w:p>
    <w:p>
      <w:pPr>
        <w:pStyle w:val="FirstParagraph"/>
      </w:pPr>
      <w:r>
        <w:rPr>
          <w:b/>
        </w:rPr>
        <w:t xml:space="preserve">Source: the Enyrgy User Guide that ships with every unit.</w:t>
      </w:r>
      <w:r>
        <w:t xml:space="preserve"> </w:t>
      </w:r>
      <w:r>
        <w:t xml:space="preserve">This is a safety disclosure, not marketing copy. Reproduce it as written. No agent may shorten it, soften it, restate it in its own words, add to it, or reason from it to a condition it does not name.</w:t>
      </w:r>
    </w:p>
    <w:p>
      <w:pPr>
        <w:pStyle w:val="Heading2"/>
      </w:pPr>
      <w:bookmarkStart w:id="38" w:name="the-list-verbatim"/>
      <w:r>
        <w:t xml:space="preserve">16.1 The list, verbatim</w:t>
      </w:r>
      <w:bookmarkEnd w:id="38"/>
    </w:p>
    <w:p>
      <w:pPr>
        <w:pStyle w:val="BlockText"/>
      </w:pPr>
      <w:r>
        <w:rPr>
          <w:b/>
        </w:rPr>
        <w:t xml:space="preserve">Contraindicated</w:t>
      </w:r>
    </w:p>
    <w:p>
      <w:pPr>
        <w:pStyle w:val="BlockText"/>
      </w:pPr>
      <w:r>
        <w:t xml:space="preserve">We recommend consulting your doctor to evaluate whether Enyrgy Light Therapy is right for you.</w:t>
      </w:r>
    </w:p>
    <w:p>
      <w:pPr>
        <w:numPr>
          <w:ilvl w:val="0"/>
          <w:numId w:val="1016"/>
        </w:numPr>
        <w:pStyle w:val="Compact"/>
      </w:pPr>
      <w:r>
        <w:t xml:space="preserve">Do not use if Pregnant</w:t>
      </w:r>
    </w:p>
    <w:p>
      <w:pPr>
        <w:numPr>
          <w:ilvl w:val="0"/>
          <w:numId w:val="1016"/>
        </w:numPr>
        <w:pStyle w:val="Compact"/>
      </w:pPr>
      <w:r>
        <w:t xml:space="preserve">Do not use if diagnosed with UV Light Sensitivity</w:t>
      </w:r>
    </w:p>
    <w:p>
      <w:pPr>
        <w:numPr>
          <w:ilvl w:val="0"/>
          <w:numId w:val="1016"/>
        </w:numPr>
        <w:pStyle w:val="Compact"/>
      </w:pPr>
      <w:r>
        <w:t xml:space="preserve">Do not use if on photosensitizing medication</w:t>
      </w:r>
    </w:p>
    <w:p>
      <w:pPr>
        <w:numPr>
          <w:ilvl w:val="0"/>
          <w:numId w:val="1016"/>
        </w:numPr>
        <w:pStyle w:val="Compact"/>
      </w:pPr>
      <w:r>
        <w:t xml:space="preserve">Do not use if diagnosed with HIV-AIDS</w:t>
      </w:r>
    </w:p>
    <w:p>
      <w:pPr>
        <w:numPr>
          <w:ilvl w:val="0"/>
          <w:numId w:val="1016"/>
        </w:numPr>
        <w:pStyle w:val="Compact"/>
      </w:pPr>
      <w:r>
        <w:t xml:space="preserve">Do not use if diagnosed with Active Skin Cancer</w:t>
      </w:r>
    </w:p>
    <w:p>
      <w:pPr>
        <w:numPr>
          <w:ilvl w:val="0"/>
          <w:numId w:val="1016"/>
        </w:numPr>
        <w:pStyle w:val="Compact"/>
      </w:pPr>
      <w:r>
        <w:t xml:space="preserve">Do not use if diagnosed with UV light sensitivities: Protoporphyria (EPP), UV-sensitive syndrome, Photodermatitis, Xeroderma pigmentosum (XP), Lupus erythematosus, or Actinic dermatitis</w:t>
      </w:r>
    </w:p>
    <w:p>
      <w:pPr>
        <w:numPr>
          <w:ilvl w:val="0"/>
          <w:numId w:val="1016"/>
        </w:numPr>
        <w:pStyle w:val="Compact"/>
      </w:pPr>
      <w:r>
        <w:t xml:space="preserve">Do not use if diagnosed with UV light allergies: Actinic prurigo (hereditary PMLE), Polymorphous light eruption (PMLE), or Solar urticaria</w:t>
      </w:r>
    </w:p>
    <w:p>
      <w:pPr>
        <w:pStyle w:val="FirstParagraph"/>
      </w:pPr>
      <w:r>
        <w:t xml:space="preserve">The age minimum of 18 (section 9) applies on top of this list.</w:t>
      </w:r>
    </w:p>
    <w:p>
      <w:pPr>
        <w:pStyle w:val="Heading2"/>
      </w:pPr>
      <w:bookmarkStart w:id="39" w:name="Xfe5b76f7bdef9e74f6fe2238bfb78b1a0b0085c"/>
      <w:r>
        <w:t xml:space="preserve">16.2 This list is exempt from the prohibited-words scan</w:t>
      </w:r>
      <w:bookmarkEnd w:id="39"/>
    </w:p>
    <w:p>
      <w:pPr>
        <w:pStyle w:val="FirstParagraph"/>
      </w:pPr>
      <w:r>
        <w:t xml:space="preserve">The scan in section 11 blocks “diagnose” and “disease” in client-facing content. The contraindication list contains “diagnosed” five times by necessity, because naming the condition is the entire function of a safety disclosure.</w:t>
      </w:r>
      <w:r>
        <w:t xml:space="preserve"> </w:t>
      </w:r>
      <w:r>
        <w:rPr>
          <w:b/>
        </w:rPr>
        <w:t xml:space="preserve">An agent that scrubs those words to satisfy the scan breaks the disclosure.</w:t>
      </w:r>
      <w:r>
        <w:t xml:space="preserve"> </w:t>
      </w:r>
      <w:r>
        <w:t xml:space="preserve">Send it as written or do not send it. This is the only standing exemption to section 11.</w:t>
      </w:r>
    </w:p>
    <w:p>
      <w:pPr>
        <w:pStyle w:val="Heading2"/>
      </w:pPr>
      <w:bookmarkStart w:id="40" w:name="X7079cd488be367803663fc3ca74e1a7445ddb0b"/>
      <w:r>
        <w:t xml:space="preserve">16.3 Photosensitizing medication is the item that carries real physical risk</w:t>
      </w:r>
      <w:bookmarkEnd w:id="40"/>
    </w:p>
    <w:p>
      <w:pPr>
        <w:pStyle w:val="FirstParagraph"/>
      </w:pPr>
      <w:r>
        <w:t xml:space="preserve">The other entries describe conditions a person already knows they have. This one is different in two ways, and both matter.</w:t>
      </w:r>
    </w:p>
    <w:p>
      <w:pPr>
        <w:pStyle w:val="BodyText"/>
      </w:pPr>
      <w:r>
        <w:rPr>
          <w:b/>
        </w:rPr>
        <w:t xml:space="preserve">It is invisible to the device.</w:t>
      </w:r>
      <w:r>
        <w:t xml:space="preserve"> </w:t>
      </w:r>
      <w:r>
        <w:t xml:space="preserve">The app calculates each user’s dose from Fitzpatrick skin type and ends the session automatically (section 4). It has no knowledge of what the user takes. Photosensitizing drugs lower the dose at which skin burns, which is the documented reason this line sits on the list at all, so a dose set correctly for a skin type can exceed what that particular person’s skin tolerates. The automatic cutoff does not protect against this, because the variable it doses on is not the variable that changed.</w:t>
      </w:r>
    </w:p>
    <w:p>
      <w:pPr>
        <w:pStyle w:val="BodyText"/>
      </w:pPr>
      <w:r>
        <w:rPr>
          <w:b/>
        </w:rPr>
        <w:t xml:space="preserve">The safety record does not speak to this, in either direction.</w:t>
      </w:r>
      <w:r>
        <w:t xml:space="preserve"> </w:t>
      </w:r>
      <w:r>
        <w:t xml:space="preserve">We do not screen for photosensitizing drugs and do not record them, so nobody knows how many of the 25,000+ sessions involved someone taking one. The figure shows the dosing protocol has been safe across the people who have used it. It is not evidence that the protocol is safe for a photosensitized user, and it is not evidence of harm either. It is silent, because the variable was never measured.</w:t>
      </w:r>
      <w:r>
        <w:t xml:space="preserve"> </w:t>
      </w:r>
      <w:r>
        <w:rPr>
          <w:b/>
        </w:rPr>
        <w:t xml:space="preserve">Do not cite the safety record in answer to a photosensitivity question.</w:t>
      </w:r>
      <w:r>
        <w:t xml:space="preserve"> </w:t>
      </w:r>
      <w:r>
        <w:t xml:space="preserve">Citing it there presents an unmeasured variable as a tested one.</w:t>
      </w:r>
    </w:p>
    <w:p>
      <w:pPr>
        <w:pStyle w:val="BodyText"/>
      </w:pPr>
      <w:r>
        <w:rPr>
          <w:b/>
        </w:rPr>
        <w:t xml:space="preserve">People often do not know they are on one.</w:t>
      </w:r>
      <w:r>
        <w:t xml:space="preserve"> </w:t>
      </w:r>
      <w:r>
        <w:t xml:space="preserve">The category is wide and includes drugs nobody associates with sunlight: several antibiotic classes, some diuretics, some cardiac and antiarrhythmic drugs, some anti-inflammatories, some antifungals, some retinoids, and St John’s wort. Never list examples to a customer and never rule a specific drug in or out. The category is a physician’s question, and asking it is the whole point of the line above the list.</w:t>
      </w:r>
    </w:p>
    <w:p>
      <w:pPr>
        <w:pStyle w:val="BodyText"/>
      </w:pPr>
      <w:r>
        <w:t xml:space="preserve">Photosensitivity can also outlast the last dose, so “I stopped taking it” is not the same as clear. That timing question also belongs to their physician, not to us.</w:t>
      </w:r>
    </w:p>
    <w:p>
      <w:pPr>
        <w:pStyle w:val="Heading2"/>
      </w:pPr>
      <w:bookmarkStart w:id="41" w:name="Xac8e472bf725badfd76b7f636b4a5d32aa584fa"/>
      <w:r>
        <w:t xml:space="preserve">16.4 How an agent handles an inbound health question</w:t>
      </w:r>
      <w:bookmarkEnd w:id="41"/>
    </w:p>
    <w:p>
      <w:pPr>
        <w:pStyle w:val="FirstParagraph"/>
      </w:pPr>
      <w:r>
        <w:t xml:space="preserve">Someone describing a condition, an injury, a medication, or an ongoing course of care is not a normal inquiry. Handle it this way, every time.</w:t>
      </w:r>
    </w:p>
    <w:p>
      <w:pPr>
        <w:numPr>
          <w:ilvl w:val="0"/>
          <w:numId w:val="1017"/>
        </w:numPr>
        <w:pStyle w:val="Compact"/>
      </w:pPr>
      <w:r>
        <w:rPr>
          <w:b/>
        </w:rPr>
        <w:t xml:space="preserve">Never clear anyone.</w:t>
      </w:r>
      <w:r>
        <w:t xml:space="preserve"> </w:t>
      </w:r>
      <w:r>
        <w:t xml:space="preserve">Do not say a person is fine, is probably fine, sounds fine, or that their situation is not on the list.</w:t>
      </w:r>
      <w:r>
        <w:t xml:space="preserve"> </w:t>
      </w:r>
      <w:r>
        <w:rPr>
          <w:b/>
        </w:rPr>
        <w:t xml:space="preserve">Absence from the list is not clearance</w:t>
      </w:r>
      <w:r>
        <w:t xml:space="preserve">, and an agent has no standing to grant it.</w:t>
      </w:r>
    </w:p>
    <w:p>
      <w:pPr>
        <w:numPr>
          <w:ilvl w:val="0"/>
          <w:numId w:val="1017"/>
        </w:numPr>
        <w:pStyle w:val="Compact"/>
      </w:pPr>
      <w:r>
        <w:rPr>
          <w:b/>
        </w:rPr>
        <w:t xml:space="preserve">Never reason outward from the list.</w:t>
      </w:r>
      <w:r>
        <w:t xml:space="preserve"> </w:t>
      </w:r>
      <w:r>
        <w:t xml:space="preserve">It names what it names. Do not infer that a related condition is safe because it is unnamed, or unsafe because it resembles one that is.</w:t>
      </w:r>
    </w:p>
    <w:p>
      <w:pPr>
        <w:numPr>
          <w:ilvl w:val="0"/>
          <w:numId w:val="1017"/>
        </w:numPr>
        <w:pStyle w:val="Compact"/>
      </w:pPr>
      <w:r>
        <w:rPr>
          <w:b/>
        </w:rPr>
        <w:t xml:space="preserve">Never suggest a schedule, a session length, or a dose for a health situation.</w:t>
      </w:r>
      <w:r>
        <w:t xml:space="preserve"> </w:t>
      </w:r>
      <w:r>
        <w:t xml:space="preserve">The app sets dose. We do not.</w:t>
      </w:r>
    </w:p>
    <w:p>
      <w:pPr>
        <w:numPr>
          <w:ilvl w:val="0"/>
          <w:numId w:val="1017"/>
        </w:numPr>
        <w:pStyle w:val="Compact"/>
      </w:pPr>
      <w:r>
        <w:rPr>
          <w:b/>
        </w:rPr>
        <w:t xml:space="preserve">Never send the platform’s benefit story as the answer to a health question.</w:t>
      </w:r>
      <w:r>
        <w:t xml:space="preserve"> </w:t>
      </w:r>
      <w:r>
        <w:t xml:space="preserve">A person describing a condition is asking whether this helps or harms them. Reciting pathways answers a different question and reads as an answer to theirs.</w:t>
      </w:r>
    </w:p>
    <w:p>
      <w:pPr>
        <w:numPr>
          <w:ilvl w:val="0"/>
          <w:numId w:val="1017"/>
        </w:numPr>
        <w:pStyle w:val="Compact"/>
      </w:pPr>
      <w:r>
        <w:rPr>
          <w:b/>
        </w:rPr>
        <w:t xml:space="preserve">Do not solicit or record health details.</w:t>
      </w:r>
      <w:r>
        <w:t xml:space="preserve"> </w:t>
      </w:r>
      <w:r>
        <w:t xml:space="preserve">If they arrive unprompted, do not enter them in GHL custom fields, tags, or notes. Escalate the conversation instead.</w:t>
      </w:r>
    </w:p>
    <w:p>
      <w:pPr>
        <w:numPr>
          <w:ilvl w:val="0"/>
          <w:numId w:val="1017"/>
        </w:numPr>
        <w:pStyle w:val="Compact"/>
      </w:pPr>
      <w:r>
        <w:rPr>
          <w:b/>
        </w:rPr>
        <w:t xml:space="preserve">Give the list, name the physician conversation, stop there.</w:t>
      </w:r>
    </w:p>
    <w:p>
      <w:pPr>
        <w:numPr>
          <w:ilvl w:val="0"/>
          <w:numId w:val="1017"/>
        </w:numPr>
        <w:pStyle w:val="Compact"/>
      </w:pPr>
      <w:r>
        <w:rPr>
          <w:b/>
        </w:rPr>
        <w:t xml:space="preserve">Escalate to Scott</w:t>
      </w:r>
      <w:r>
        <w:t xml:space="preserve"> </w:t>
      </w:r>
      <w:r>
        <w:t xml:space="preserve">whenever the person names a specific condition, a medication, ongoing care, or asks for an arrangement outside the standard purchase. Do not run that conversation.</w:t>
      </w:r>
    </w:p>
    <w:p>
      <w:pPr>
        <w:pStyle w:val="FirstParagraph"/>
      </w:pPr>
      <w:r>
        <w:t xml:space="preserve">The honest position, and the one to hold: we do not know whether it helps or harms in a specific medical situation, the questions that would settle it are answerable by their physician in a few minutes, and pointing them there is a better answer than yes.</w:t>
      </w:r>
    </w:p>
    <w:p>
      <w:pPr>
        <w:pStyle w:val="Heading2"/>
      </w:pPr>
      <w:bookmarkStart w:id="42" w:name="X3883c1d2206e10653c9889d2dfe957a08beb348"/>
      <w:r>
        <w:t xml:space="preserve">16.5 Vitamin D non-response is not a contraindication</w:t>
      </w:r>
      <w:bookmarkEnd w:id="42"/>
    </w:p>
    <w:p>
      <w:pPr>
        <w:pStyle w:val="FirstParagraph"/>
      </w:pPr>
      <w:r>
        <w:t xml:space="preserve">The User Guide records, alongside the list: those who have polymorphisms in genes related to vitamin D metabolism (for example GC, CYP2R1, DHCR7) do not respond well to UVB, sometimes described as UVB non-responsiveness or vitamin D photoconversion resistance.</w:t>
      </w:r>
    </w:p>
    <w:p>
      <w:pPr>
        <w:pStyle w:val="BodyText"/>
      </w:pPr>
      <w:r>
        <w:rPr>
          <w:b/>
        </w:rPr>
        <w:t xml:space="preserve">This is a non-response caveat, not a safety exclusion.</w:t>
      </w:r>
      <w:r>
        <w:t xml:space="preserve"> </w:t>
      </w:r>
      <w:r>
        <w:t xml:space="preserve">Never phrase it as “do not use if.” It carries two implications worth stating plainly.</w:t>
      </w:r>
    </w:p>
    <w:p>
      <w:pPr>
        <w:numPr>
          <w:ilvl w:val="0"/>
          <w:numId w:val="1018"/>
        </w:numPr>
        <w:pStyle w:val="Compact"/>
      </w:pPr>
      <w:r>
        <w:t xml:space="preserve">It is the honest limit on the clinical result. The five participants all reached optimal (section 4). A person with these polymorphisms may not, through no failure of the platform. Testing before and after is what settles it for any individual, which is what we recommend anyway.</w:t>
      </w:r>
    </w:p>
    <w:p>
      <w:pPr>
        <w:numPr>
          <w:ilvl w:val="0"/>
          <w:numId w:val="1018"/>
        </w:numPr>
        <w:pStyle w:val="Compact"/>
      </w:pPr>
      <w:r>
        <w:t xml:space="preserve">The biology overlaps with the one-in-four low-responder figure for supplements (section 8) without being identical to it. GC and CYP2R1 act on vitamin D once it is in circulation, whichever route it arrived by, so they bear on both. DHCR7 governs the substrate available in skin, so it is specific to the light pathway. The practical rule that follows:</w:t>
      </w:r>
      <w:r>
        <w:t xml:space="preserve"> </w:t>
      </w:r>
      <w:r>
        <w:rPr>
          <w:b/>
        </w:rPr>
        <w:t xml:space="preserve">never present low response as a supplement problem the platform escapes.</w:t>
      </w:r>
      <w:r>
        <w:t xml:space="preserve"> </w:t>
      </w:r>
      <w:r>
        <w:t xml:space="preserve">The platform opens three pathways instead of one and is far more efficient at the vitamin D pathway, and that is the accurate comparison. It does not make vitamin D genetics irrelevant.</w:t>
      </w:r>
    </w:p>
    <w:p>
      <w:pPr>
        <w:pStyle w:val="Heading2"/>
      </w:pPr>
      <w:bookmarkStart w:id="43" w:name="use-on-intact-skin-only"/>
      <w:r>
        <w:t xml:space="preserve">16.6 Use on intact skin only</w:t>
      </w:r>
      <w:bookmarkEnd w:id="43"/>
    </w:p>
    <w:p>
      <w:pPr>
        <w:pStyle w:val="FirstParagraph"/>
      </w:pPr>
      <w:r>
        <w:rPr>
          <w:b/>
        </w:rPr>
        <w:t xml:space="preserve">Approved wording, use as written in every document and every reply:</w:t>
      </w:r>
    </w:p>
    <w:p>
      <w:pPr>
        <w:pStyle w:val="BlockText"/>
      </w:pPr>
      <w:r>
        <w:rPr>
          <w:b/>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rPr>
          <w:b/>
        </w:rPr>
        <w:t xml:space="preserve">Why this exists.</w:t>
      </w:r>
      <w:r>
        <w:t xml:space="preserve"> </w:t>
      </w:r>
      <w:r>
        <w:t xml:space="preserve">It was missing from every Enyrgy document until August 2026, and the gap is not academic. Our own approved research points say adequate vitamin D supports wound repair (section 4). A person who reads that and then owns a UVB platform can reasonably conclude the light should go on the wound. Nothing we published told them otherwise.</w:t>
      </w:r>
    </w:p>
    <w:p>
      <w:pPr>
        <w:pStyle w:val="BodyText"/>
      </w:pPr>
      <w:r>
        <w:rPr>
          <w:b/>
        </w:rPr>
        <w:t xml:space="preserve">Agents must never build on that inference.</w:t>
      </w:r>
      <w:r>
        <w:t xml:space="preserve"> </w:t>
      </w:r>
      <w:r>
        <w:t xml:space="preserve">Do not suggest that a session supports a specific injury, do not answer a wound question with the bone and recovery research, and do not describe where to position anything. The line above, then the physician, then stop.</w:t>
      </w:r>
    </w:p>
    <w:p>
      <w:pPr>
        <w:pStyle w:val="Heading2"/>
      </w:pPr>
      <w:bookmarkStart w:id="44" w:name="why-the-pacemaker-line-was-removed"/>
      <w:r>
        <w:t xml:space="preserve">16.7 Why the pacemaker line was removed</w:t>
      </w:r>
      <w:bookmarkEnd w:id="44"/>
    </w:p>
    <w:p>
      <w:pPr>
        <w:pStyle w:val="FirstParagraph"/>
      </w:pPr>
      <w:r>
        <w:rPr>
          <w:b/>
        </w:rPr>
        <w:t xml:space="preserve">No dermatological source supports the exclusion.</w:t>
      </w:r>
      <w:r>
        <w:t xml:space="preserve"> </w:t>
      </w:r>
      <w:r>
        <w:t xml:space="preserve">The 2019 joint AAD and NPF phototherapy guidelines (Elmets et al.,</w:t>
      </w:r>
      <w:r>
        <w:t xml:space="preserve"> </w:t>
      </w:r>
      <w:r>
        <w:rPr>
          <w:i/>
        </w:rPr>
        <w:t xml:space="preserve">J Am Acad Dermatol</w:t>
      </w:r>
      <w:r>
        <w:t xml:space="preserve"> </w:t>
      </w:r>
      <w:r>
        <w:t xml:space="preserve">2019;81(3):775-804) treat narrowband UVB as having very few absolute contraindications: xeroderma pigmentosum and other photosensitive disorders. The relative contraindications they list are skin cancer history, photosensitivity disorders, autoimmune conditions such as lupus, pregnancy, immunosuppressive therapy, cataracts, and similar. Implanted cardiac devices appear in neither list.</w:t>
      </w:r>
    </w:p>
    <w:p>
      <w:pPr>
        <w:pStyle w:val="BodyText"/>
      </w:pPr>
      <w:r>
        <w:rPr>
          <w:b/>
        </w:rPr>
        <w:t xml:space="preserve">The origin appears to be equipment, not light.</w:t>
      </w:r>
      <w:r>
        <w:t xml:space="preserve"> </w:t>
      </w:r>
      <w:r>
        <w:t xml:space="preserve">Warnings of this shape are standard on tanning and cabinet-style UV equipment, where the concern is electromagnetic interference from the cabinet’s own electrical systems, its ballasts, fans and motors, rather than from the ultraviolet output. The therapeutic laser literature describes the same exclusion as a common misconception, on the grounds that implanted devices are metal-encased and unaffected by photons. Sunlight itself carries no such warning. Enyrgy’s platform is a wall-mounted unit the user stands against, not a powered cabinet they lie inside.</w:t>
      </w:r>
    </w:p>
    <w:p>
      <w:pPr>
        <w:pStyle w:val="BodyText"/>
      </w:pPr>
      <w:r>
        <w:rPr>
          <w:b/>
        </w:rPr>
        <w:t xml:space="preserve">What this does not mean, and the distinction agents must hold.</w:t>
      </w:r>
    </w:p>
    <w:p>
      <w:pPr>
        <w:numPr>
          <w:ilvl w:val="0"/>
          <w:numId w:val="1019"/>
        </w:numPr>
        <w:pStyle w:val="Compact"/>
      </w:pPr>
      <w:r>
        <w:rPr>
          <w:b/>
        </w:rPr>
        <w:t xml:space="preserve">Removal from the list is not clearance.</w:t>
      </w:r>
      <w:r>
        <w:t xml:space="preserve"> </w:t>
      </w:r>
      <w:r>
        <w:t xml:space="preserve">The rule in 16.4 governs unchanged: absence from the list never means a person is fine, and no agent may tell someone with a pacemaker that Enyrgy is safe for them. That is still their physician’s call.</w:t>
      </w:r>
    </w:p>
    <w:p>
      <w:pPr>
        <w:numPr>
          <w:ilvl w:val="0"/>
          <w:numId w:val="1019"/>
        </w:numPr>
        <w:pStyle w:val="Compact"/>
      </w:pPr>
      <w:r>
        <w:rPr>
          <w:b/>
        </w:rPr>
        <w:t xml:space="preserve">Never volunteer that the line was removed</w:t>
      </w:r>
      <w:r>
        <w:t xml:space="preserve">, and never present the removal as a safety finding. It is a correction to a list that carried an item without a basis.</w:t>
      </w:r>
    </w:p>
    <w:p>
      <w:pPr>
        <w:numPr>
          <w:ilvl w:val="0"/>
          <w:numId w:val="1019"/>
        </w:numPr>
        <w:pStyle w:val="Compact"/>
      </w:pPr>
      <w:r>
        <w:rPr>
          <w:b/>
        </w:rPr>
        <w:t xml:space="preserve">Units already in the field still show it.</w:t>
      </w:r>
      <w:r>
        <w:t xml:space="preserve"> </w:t>
      </w:r>
      <w:r>
        <w:t xml:space="preserve">Anyone who bought before this change has a manual listing Heart/Pacemaker. If they raise it, do not tell them their manual is wrong or that the concern was baseless. Confirm the current list, point them to their doctor, escalate to Scott.</w:t>
      </w:r>
    </w:p>
    <w:p>
      <w:pPr>
        <w:pStyle w:val="FirstParagraph"/>
      </w:pPr>
      <w:r>
        <w:rPr>
          <w:i/>
        </w:rPr>
        <w:t xml:space="preserve">CONFIDENTIAL - Enyrgy Inc - 5115 N 27th Ave, Bld 66, Phoenix, AZ 85017 - enyrgy.com - Sunlight. Evolved.</w:t>
      </w:r>
    </w:p>
    <w:sectPr w:rsidR="00656573">
      <w:headerReference w:type="default" r:id="rId9"/>
      <w:footerReference w:type="default" r:id="rId1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Paperclip Knowledge Base </w:t>
    </w:r>
    <w:proofErr w:type="gramStart"/>
    <w:r>
      <w:rPr>
        <w:rFonts w:ascii="Montserrat" w:eastAsia="Montserrat" w:hAnsi="Montserrat" w:cs="Montserrat"/>
        <w:b/>
        <w:bCs/>
        <w:color w:val="E64C38"/>
        <w:sz w:val="18"/>
        <w:szCs w:val="18"/>
      </w:rPr>
      <w:t xml:space="preserve">Shared, Agent-Read  </w:t>
    </w:r>
    <w:r>
      <w:rPr>
        <w:rFonts w:ascii="Montserrat" w:eastAsia="Montserrat" w:hAnsi="Montserrat" w:cs="Montserrat"/>
        <w:color w:val="999999"/>
        <w:sz w:val="18"/>
        <w:szCs w:val="18"/>
      </w:rPr>
      <w:t>CONFIDENTIAL</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BDE2408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07FA751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47261BAD"/>
    <w:multiLevelType w:val="multilevel"/>
    <w:tmpl w:val="8ECE1826"/>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3" w15:restartNumberingAfterBreak="0">
    <w:nsid w:val="71315DCA"/>
    <w:multiLevelType w:val="multilevel"/>
    <w:tmpl w:val="8F1A713C"/>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66442937">
    <w:abstractNumId w:val="1"/>
  </w:num>
  <w:num w:numId="2" w16cid:durableId="611596762">
    <w:abstractNumId w:val="0"/>
  </w:num>
  <w:num w:numId="3" w16cid:durableId="388962429">
    <w:abstractNumId w:val="0"/>
  </w:num>
  <w:num w:numId="4" w16cid:durableId="1208103481">
    <w:abstractNumId w:val="0"/>
  </w:num>
  <w:num w:numId="5" w16cid:durableId="2058387244">
    <w:abstractNumId w:val="0"/>
  </w:num>
  <w:num w:numId="6" w16cid:durableId="571309507">
    <w:abstractNumId w:val="0"/>
  </w:num>
  <w:num w:numId="7" w16cid:durableId="564293530">
    <w:abstractNumId w:val="0"/>
  </w:num>
  <w:num w:numId="8" w16cid:durableId="1537962493">
    <w:abstractNumId w:val="0"/>
  </w:num>
  <w:num w:numId="9" w16cid:durableId="1458573164">
    <w:abstractNumId w:val="0"/>
  </w:num>
  <w:num w:numId="10" w16cid:durableId="2042437547">
    <w:abstractNumId w:val="0"/>
  </w:num>
  <w:num w:numId="11" w16cid:durableId="2042438987">
    <w:abstractNumId w:val="0"/>
  </w:num>
  <w:num w:numId="12" w16cid:durableId="477458780">
    <w:abstractNumId w:val="0"/>
  </w:num>
  <w:num w:numId="13" w16cid:durableId="698898323">
    <w:abstractNumId w:val="0"/>
  </w:num>
  <w:num w:numId="14" w16cid:durableId="424956732">
    <w:abstractNumId w:val="0"/>
  </w:num>
  <w:num w:numId="15" w16cid:durableId="69932026">
    <w:abstractNumId w:val="0"/>
  </w:num>
  <w:num w:numId="16" w16cid:durableId="14018299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20593767">
    <w:abstractNumId w:val="0"/>
  </w:num>
  <w:num w:numId="18" w16cid:durableId="293027331">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color w:val="1A1A1A"/>
        <w:sz w:val="22"/>
        <w:szCs w:val="22"/>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E64C38"/>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E64C38"/>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E64C38"/>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E64C38"/>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E64C38"/>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E64C38"/>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E64C38"/>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E64C38"/>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E64C3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b/>
      <w:color w:val="E64C38"/>
      <w:sz w:val="52"/>
      <w:szCs w:val="5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E64C38"/>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704A3"/>
    <w:pPr>
      <w:spacing w:after="100"/>
    </w:pPr>
  </w:style>
  <w:style w:type="paragraph" w:styleId="TOC2">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2026-08-26T14:30:29Z</dcterms:created>
  <dcterms:modified xsi:type="dcterms:W3CDTF">2026-08-26T14:30:29Z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