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467d98e59023918afe2fa1e6e32f2d241bfd2f"/>
    <w:p>
      <w:pPr>
        <w:pStyle w:val="Heading1"/>
      </w:pPr>
      <w:r>
        <w:t xml:space="preserve">Why Enyrgy Exists, and What We Have Measured</w:t>
      </w:r>
    </w:p>
    <w:p>
      <w:pPr>
        <w:pStyle w:val="FirstParagraph"/>
      </w:pPr>
      <w:r>
        <w:rPr>
          <w:i/>
          <w:iCs/>
        </w:rPr>
        <w:t xml:space="preserve">Enyrgy Inc. Sunlight. Evolved.</w:t>
      </w:r>
    </w:p>
    <w:p>
      <w:r>
        <w:pict>
          <v:rect style="width:0;height:1.5pt" o:hralign="center" o:hrstd="t" o:hr="t"/>
        </w:pict>
      </w:r>
    </w:p>
    <w:p>
      <w:pPr>
        <w:pStyle w:val="FirstParagraph"/>
      </w:pPr>
      <w:r>
        <w:t xml:space="preserve">We did not set out to build a wellness company. We set out to solve a problem that punched us in the face.</w:t>
      </w:r>
    </w:p>
    <w:bookmarkStart w:id="19" w:name="the-moment"/>
    <w:p>
      <w:pPr>
        <w:pStyle w:val="Heading2"/>
      </w:pPr>
      <w:r>
        <w:t xml:space="preserve">The moment</w:t>
      </w:r>
    </w:p>
    <w:p>
      <w:pPr>
        <w:pStyle w:val="FirstParagraph"/>
      </w:pPr>
      <w:r>
        <w:t xml:space="preserve">Late 2019. My wife Laura and I sat in a doctor’s office looking at each other. Quiet. The kind of quiet where you are both trying to internalize something at the same time, and neither of you has the words yet.</w:t>
      </w:r>
    </w:p>
    <w:p>
      <w:pPr>
        <w:pStyle w:val="BodyText"/>
      </w:pPr>
      <w:r>
        <w:t xml:space="preserve">Breast cancer.</w:t>
      </w:r>
    </w:p>
    <w:p>
      <w:pPr>
        <w:pStyle w:val="BodyText"/>
      </w:pPr>
      <w:r>
        <w:t xml:space="preserve">I have spent thirty years building companies. Five exits. Over $500 million in enterprise value. I have been in hard rooms before, with hard numbers on the table, and I know how to work through a problem. This was not that kind of room.</w:t>
      </w:r>
    </w:p>
    <w:bookmarkEnd w:id="19"/>
    <w:bookmarkStart w:id="20" w:name="the-catalyst"/>
    <w:p>
      <w:pPr>
        <w:pStyle w:val="Heading2"/>
      </w:pPr>
      <w:r>
        <w:t xml:space="preserve">The catalyst</w:t>
      </w:r>
    </w:p>
    <w:p>
      <w:pPr>
        <w:pStyle w:val="FirstParagraph"/>
      </w:pPr>
      <w:r>
        <w:t xml:space="preserve">A few months later, COVID hit. Laura is a front-line healthcare worker. Her immune system was not a wellness goal, it was a daily operational requirement. Protecting it became the conversation we had every morning and every night.</w:t>
      </w:r>
    </w:p>
    <w:p>
      <w:pPr>
        <w:pStyle w:val="BodyText"/>
      </w:pPr>
      <w:r>
        <w:t xml:space="preserve">My co-founder David Letourneau and I had been working in the UV light space through our previous company, Anthem One, where we deployed UV-C sterilization technology adopted by Bell Helicopter and aerospace clients during COVID. We understood light-based biology at an engineering level.</w:t>
      </w:r>
    </w:p>
    <w:p>
      <w:pPr>
        <w:pStyle w:val="BodyText"/>
      </w:pPr>
      <w:r>
        <w:t xml:space="preserve">We connected with physicians from LSU and Baylor who were running a clinical study using UVB light to support immune response in critically ill COVID patients. The results were a 60 percent reduction in mortality.</w:t>
      </w:r>
    </w:p>
    <w:bookmarkEnd w:id="20"/>
    <w:bookmarkStart w:id="21" w:name="the-number-that-changed-everything"/>
    <w:p>
      <w:pPr>
        <w:pStyle w:val="Heading2"/>
      </w:pPr>
      <w:r>
        <w:t xml:space="preserve">The number that changed everything</w:t>
      </w:r>
    </w:p>
    <w:p>
      <w:pPr>
        <w:pStyle w:val="FirstParagraph"/>
      </w:pPr>
      <w:r>
        <w:t xml:space="preserve">In those discussions, one of the doctors pulled up a piece of research I had not seen before. Women with a vitamin D level below 20 ng/mL have an over 80 percent higher risk of breast cancer.</w:t>
      </w:r>
    </w:p>
    <w:p>
      <w:pPr>
        <w:pStyle w:val="BodyText"/>
      </w:pPr>
      <w:r>
        <w:t xml:space="preserve">Laura was at 17 ng/mL. Three points below the threshold.</w:t>
      </w:r>
    </w:p>
    <w:p>
      <w:pPr>
        <w:pStyle w:val="BodyText"/>
      </w:pPr>
      <w:r>
        <w:t xml:space="preserve">I have been in enough data reviews to know what that number does and does not mean. It does not mean causality. It means the body we loved most was operating without something it needed, we had no way of knowing it, and no precise way of correcting it even if we had.</w:t>
      </w:r>
    </w:p>
    <w:p>
      <w:pPr>
        <w:pStyle w:val="BodyText"/>
      </w:pPr>
      <w:r>
        <w:t xml:space="preserve">That number, 17, is the reason this platform exists.</w:t>
      </w:r>
    </w:p>
    <w:bookmarkEnd w:id="21"/>
    <w:bookmarkStart w:id="22" w:name="the-build"/>
    <w:p>
      <w:pPr>
        <w:pStyle w:val="Heading2"/>
      </w:pPr>
      <w:r>
        <w:t xml:space="preserve">The build</w:t>
      </w:r>
    </w:p>
    <w:p>
      <w:pPr>
        <w:pStyle w:val="FirstParagraph"/>
      </w:pPr>
      <w:r>
        <w:t xml:space="preserve">David and I looked at what existed in the market. Generic UVB lamps with no safety controls. Manual timers. No skin-type calibration. No dosing intelligence. No tracking. No way to know whether you were getting 500 IU of synthesis or 5,000.</w:t>
      </w:r>
    </w:p>
    <w:p>
      <w:pPr>
        <w:pStyle w:val="BodyText"/>
      </w:pPr>
      <w:r>
        <w:t xml:space="preserve">It was not a product gap. It was a category gap. Precision phototherapy for the home did not exist.</w:t>
      </w:r>
    </w:p>
    <w:p>
      <w:pPr>
        <w:pStyle w:val="BodyText"/>
      </w:pPr>
      <w:r>
        <w:t xml:space="preserve">We built it. Three years of engineering, then nine months of beta testing before it went to market.</w:t>
      </w:r>
    </w:p>
    <w:p>
      <w:r>
        <w:pict>
          <v:rect style="width:0;height:1.5pt" o:hralign="center" o:hrstd="t" o:hr="t"/>
        </w:pict>
      </w:r>
    </w:p>
    <w:bookmarkEnd w:id="22"/>
    <w:bookmarkEnd w:id="23"/>
    <w:bookmarkStart w:id="29" w:name="what-we-have-measured"/>
    <w:p>
      <w:pPr>
        <w:pStyle w:val="Heading1"/>
      </w:pPr>
      <w:r>
        <w:t xml:space="preserve">What we have measured</w:t>
      </w:r>
    </w:p>
    <w:bookmarkStart w:id="24" w:name="the-12-week-study"/>
    <w:p>
      <w:pPr>
        <w:pStyle w:val="Heading2"/>
      </w:pPr>
      <w:r>
        <w:t xml:space="preserve">The 12-week study</w:t>
      </w:r>
    </w:p>
    <w:p>
      <w:pPr>
        <w:pStyle w:val="FirstParagraph"/>
      </w:pPr>
      <w:r>
        <w:t xml:space="preserve">Twelve weeks. Five healthy adults, skin types II to IV, four to six sessions a week. No control group.</w:t>
      </w:r>
    </w:p>
    <w:p>
      <w:pPr>
        <w:pStyle w:val="BodyText"/>
      </w:pPr>
      <w:r>
        <w:rPr>
          <w:b/>
          <w:bCs/>
        </w:rPr>
        <w:t xml:space="preserve">This is our own study, not independent research, and five people is a small study.</w:t>
      </w:r>
      <w:r>
        <w:t xml:space="preserve"> </w:t>
      </w:r>
      <w:r>
        <w:t xml:space="preserve">We would rather publish every row than an average.</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Participant</w:t>
            </w:r>
          </w:p>
        </w:tc>
        <w:tc>
          <w:tcPr/>
          <w:p>
            <w:pPr>
              <w:pStyle w:val="Compact"/>
            </w:pPr>
            <w:r>
              <w:t xml:space="preserve">Skin type</w:t>
            </w:r>
          </w:p>
        </w:tc>
        <w:tc>
          <w:tcPr/>
          <w:p>
            <w:pPr>
              <w:pStyle w:val="Compact"/>
            </w:pPr>
            <w:r>
              <w:t xml:space="preserve">Start, ng/mL</w:t>
            </w:r>
          </w:p>
        </w:tc>
        <w:tc>
          <w:tcPr/>
          <w:p>
            <w:pPr>
              <w:pStyle w:val="Compact"/>
            </w:pPr>
            <w:r>
              <w:t xml:space="preserve">End, ng/mL</w:t>
            </w:r>
          </w:p>
        </w:tc>
      </w:tr>
      <w:tr>
        <w:tc>
          <w:tcPr/>
          <w:p>
            <w:pPr>
              <w:pStyle w:val="Compact"/>
            </w:pPr>
            <w:r>
              <w:t xml:space="preserve">P1</w:t>
            </w:r>
          </w:p>
        </w:tc>
        <w:tc>
          <w:tcPr/>
          <w:p>
            <w:pPr>
              <w:pStyle w:val="Compact"/>
            </w:pPr>
            <w:r>
              <w:t xml:space="preserve">II</w:t>
            </w:r>
          </w:p>
        </w:tc>
        <w:tc>
          <w:tcPr/>
          <w:p>
            <w:pPr>
              <w:pStyle w:val="Compact"/>
            </w:pPr>
            <w:r>
              <w:t xml:space="preserve">38.4</w:t>
            </w:r>
          </w:p>
        </w:tc>
        <w:tc>
          <w:tcPr/>
          <w:p>
            <w:pPr>
              <w:pStyle w:val="Compact"/>
            </w:pPr>
            <w:r>
              <w:t xml:space="preserve">86.0</w:t>
            </w:r>
          </w:p>
        </w:tc>
      </w:tr>
      <w:tr>
        <w:tc>
          <w:tcPr/>
          <w:p>
            <w:pPr>
              <w:pStyle w:val="Compact"/>
            </w:pPr>
            <w:r>
              <w:t xml:space="preserve">P2</w:t>
            </w:r>
          </w:p>
        </w:tc>
        <w:tc>
          <w:tcPr/>
          <w:p>
            <w:pPr>
              <w:pStyle w:val="Compact"/>
            </w:pPr>
            <w:r>
              <w:t xml:space="preserve">III</w:t>
            </w:r>
          </w:p>
        </w:tc>
        <w:tc>
          <w:tcPr/>
          <w:p>
            <w:pPr>
              <w:pStyle w:val="Compact"/>
            </w:pPr>
            <w:r>
              <w:t xml:space="preserve">34.0</w:t>
            </w:r>
          </w:p>
        </w:tc>
        <w:tc>
          <w:tcPr/>
          <w:p>
            <w:pPr>
              <w:pStyle w:val="Compact"/>
            </w:pPr>
            <w:r>
              <w:t xml:space="preserve">88.4</w:t>
            </w:r>
          </w:p>
        </w:tc>
      </w:tr>
      <w:tr>
        <w:tc>
          <w:tcPr/>
          <w:p>
            <w:pPr>
              <w:pStyle w:val="Compact"/>
            </w:pPr>
            <w:r>
              <w:t xml:space="preserve">P3</w:t>
            </w:r>
          </w:p>
        </w:tc>
        <w:tc>
          <w:tcPr/>
          <w:p>
            <w:pPr>
              <w:pStyle w:val="Compact"/>
            </w:pPr>
            <w:r>
              <w:t xml:space="preserve">III</w:t>
            </w:r>
          </w:p>
        </w:tc>
        <w:tc>
          <w:tcPr/>
          <w:p>
            <w:pPr>
              <w:pStyle w:val="Compact"/>
            </w:pPr>
            <w:r>
              <w:t xml:space="preserve">37.0</w:t>
            </w:r>
          </w:p>
        </w:tc>
        <w:tc>
          <w:tcPr/>
          <w:p>
            <w:pPr>
              <w:pStyle w:val="Compact"/>
            </w:pPr>
            <w:r>
              <w:t xml:space="preserve">78.0</w:t>
            </w:r>
          </w:p>
        </w:tc>
      </w:tr>
      <w:tr>
        <w:tc>
          <w:tcPr/>
          <w:p>
            <w:pPr>
              <w:pStyle w:val="Compact"/>
            </w:pPr>
            <w:r>
              <w:t xml:space="preserve">P4</w:t>
            </w:r>
          </w:p>
        </w:tc>
        <w:tc>
          <w:tcPr/>
          <w:p>
            <w:pPr>
              <w:pStyle w:val="Compact"/>
            </w:pPr>
            <w:r>
              <w:t xml:space="preserve">IV</w:t>
            </w:r>
          </w:p>
        </w:tc>
        <w:tc>
          <w:tcPr/>
          <w:p>
            <w:pPr>
              <w:pStyle w:val="Compact"/>
            </w:pPr>
            <w:r>
              <w:t xml:space="preserve">47.0</w:t>
            </w:r>
          </w:p>
        </w:tc>
        <w:tc>
          <w:tcPr/>
          <w:p>
            <w:pPr>
              <w:pStyle w:val="Compact"/>
            </w:pPr>
            <w:r>
              <w:t xml:space="preserve">88.7</w:t>
            </w:r>
          </w:p>
        </w:tc>
      </w:tr>
      <w:tr>
        <w:tc>
          <w:tcPr/>
          <w:p>
            <w:pPr>
              <w:pStyle w:val="Compact"/>
            </w:pPr>
            <w:r>
              <w:t xml:space="preserve">P5</w:t>
            </w:r>
          </w:p>
        </w:tc>
        <w:tc>
          <w:tcPr/>
          <w:p>
            <w:pPr>
              <w:pStyle w:val="Compact"/>
            </w:pPr>
            <w:r>
              <w:t xml:space="preserve">III</w:t>
            </w:r>
          </w:p>
        </w:tc>
        <w:tc>
          <w:tcPr/>
          <w:p>
            <w:pPr>
              <w:pStyle w:val="Compact"/>
            </w:pPr>
            <w:r>
              <w:t xml:space="preserve">43.4</w:t>
            </w:r>
          </w:p>
        </w:tc>
        <w:tc>
          <w:tcPr/>
          <w:p>
            <w:pPr>
              <w:pStyle w:val="Compact"/>
            </w:pPr>
            <w:r>
              <w:t xml:space="preserve">79.9</w:t>
            </w:r>
          </w:p>
        </w:tc>
      </w:tr>
      <w:tr>
        <w:tc>
          <w:tcPr/>
          <w:p>
            <w:pPr>
              <w:pStyle w:val="Compact"/>
            </w:pPr>
            <w:r>
              <w:rPr>
                <w:b/>
                <w:bCs/>
              </w:rPr>
              <w:t xml:space="preserve">Average</w:t>
            </w:r>
          </w:p>
        </w:tc>
        <w:tc>
          <w:tcPr/>
          <w:p>
            <w:pPr>
              <w:pStyle w:val="Compact"/>
            </w:pPr>
          </w:p>
        </w:tc>
        <w:tc>
          <w:tcPr/>
          <w:p>
            <w:pPr>
              <w:pStyle w:val="Compact"/>
            </w:pPr>
            <w:r>
              <w:rPr>
                <w:b/>
                <w:bCs/>
              </w:rPr>
              <w:t xml:space="preserve">39.96</w:t>
            </w:r>
          </w:p>
        </w:tc>
        <w:tc>
          <w:tcPr/>
          <w:p>
            <w:pPr>
              <w:pStyle w:val="Compact"/>
            </w:pPr>
            <w:r>
              <w:rPr>
                <w:b/>
                <w:bCs/>
              </w:rPr>
              <w:t xml:space="preserve">84.20</w:t>
            </w:r>
          </w:p>
        </w:tc>
      </w:tr>
    </w:tbl>
    <w:p>
      <w:pPr>
        <w:pStyle w:val="BodyText"/>
      </w:pPr>
      <w:r>
        <w:t xml:space="preserve">A 111 percent average increase. Every participant started insufficient or borderline, every one reached optimal, and nobody dropped out.</w:t>
      </w:r>
    </w:p>
    <w:p>
      <w:pPr>
        <w:pStyle w:val="BodyText"/>
      </w:pPr>
      <w:r>
        <w:rPr>
          <w:b/>
          <w:bCs/>
        </w:rPr>
        <w:t xml:space="preserve">What it shows is narrow and real:</w:t>
      </w:r>
      <w:r>
        <w:t xml:space="preserve"> </w:t>
      </w:r>
      <w:r>
        <w:t xml:space="preserve">in a small group, consistent sessions moved the number, and moved it in all five.</w:t>
      </w:r>
      <w:r>
        <w:t xml:space="preserve"> </w:t>
      </w:r>
      <w:r>
        <w:rPr>
          <w:b/>
          <w:bCs/>
        </w:rPr>
        <w:t xml:space="preserve">What it does not show</w:t>
      </w:r>
      <w:r>
        <w:t xml:space="preserve"> </w:t>
      </w:r>
      <w:r>
        <w:t xml:space="preserve">is a controlled effect size, and we do not claim one from five people. This data is being compiled toward IRB and 510(k) pathway filings, where it will be tested properly.</w:t>
      </w:r>
    </w:p>
    <w:p>
      <w:pPr>
        <w:pStyle w:val="BodyText"/>
      </w:pPr>
      <w:r>
        <w:rPr>
          <w:b/>
          <w:bCs/>
        </w:rPr>
        <w:t xml:space="preserve">The honest limit.</w:t>
      </w:r>
      <w:r>
        <w:t xml:space="preserve"> </w:t>
      </w:r>
      <w:r>
        <w:t xml:space="preserve">Some people respond poorly to UVB because of polymorphisms in genes governing vitamin D metabolism, GC, CYP2R1 and DHCR7 among them. A user with these may not reach optimal, through no failure of the platform. This is a non-response caveat rather than a safety exclusion, and testing before and after is what settles it for any individual, which is what we recommend regardless.</w:t>
      </w:r>
    </w:p>
    <w:bookmarkEnd w:id="24"/>
    <w:bookmarkStart w:id="25" w:name="Xf2d0d20820c75da6829342f600b8904eb8fb5de"/>
    <w:p>
      <w:pPr>
        <w:pStyle w:val="Heading2"/>
      </w:pPr>
      <w:r>
        <w:t xml:space="preserve">What the 25,000 sessions do and do not tell you</w:t>
      </w:r>
    </w:p>
    <w:p>
      <w:pPr>
        <w:pStyle w:val="FirstParagraph"/>
      </w:pPr>
      <w:r>
        <w:t xml:space="preserve">Since that study, the platform has completed</w:t>
      </w:r>
      <w:r>
        <w:t xml:space="preserve"> </w:t>
      </w:r>
      <w:r>
        <w:rPr>
          <w:b/>
          <w:bCs/>
        </w:rPr>
        <w:t xml:space="preserve">more than 25,000 sessions with zero burns and zero adverse events</w:t>
      </w:r>
      <w:r>
        <w:t xml:space="preserve">, across 600 plus users in five countries, with a return rate under 1 percent against an industry norm of 5 to 10 percent.</w:t>
      </w:r>
    </w:p>
    <w:p>
      <w:pPr>
        <w:pStyle w:val="BodyText"/>
      </w:pPr>
      <w:r>
        <w:rPr>
          <w:b/>
          <w:bCs/>
        </w:rPr>
        <w:t xml:space="preserve">These two datasets answer different questions, and we keep them separate on purpose.</w:t>
      </w:r>
    </w:p>
    <w:p>
      <w:pPr>
        <w:pStyle w:val="BodyText"/>
      </w:pPr>
      <w:r>
        <w:t xml:space="preserve">The 12-week study speaks to whether sessions move a vitamin D level. Five people, so it is suggestive rather than conclusive.</w:t>
      </w:r>
    </w:p>
    <w:p>
      <w:pPr>
        <w:pStyle w:val="BodyText"/>
      </w:pPr>
      <w:r>
        <w:t xml:space="preserve">The 25,000 sessions speak to whether the dosing protocol is safe at scale. That is a much larger number and it is the one carrying real weight, but it is a safety record and not an efficacy result. It does not tell you what happened to anybody’s blood work.</w:t>
      </w:r>
    </w:p>
    <w:p>
      <w:pPr>
        <w:pStyle w:val="BodyText"/>
      </w:pPr>
      <w:r>
        <w:t xml:space="preserve">Conflating the two would let us present a five-person efficacy result as though 25,000 sessions supported it. They do not, and we will not.</w:t>
      </w:r>
    </w:p>
    <w:bookmarkEnd w:id="25"/>
    <w:bookmarkStart w:id="26" w:name="why-the-safety-record-holds"/>
    <w:p>
      <w:pPr>
        <w:pStyle w:val="Heading2"/>
      </w:pPr>
      <w:r>
        <w:t xml:space="preserve">Why the safety record holds</w:t>
      </w:r>
    </w:p>
    <w:p>
      <w:pPr>
        <w:pStyle w:val="FirstParagraph"/>
      </w:pPr>
      <w:r>
        <w:t xml:space="preserve">The design is the reason, not luck.</w:t>
      </w:r>
    </w:p>
    <w:p>
      <w:pPr>
        <w:pStyle w:val="BodyText"/>
      </w:pPr>
      <w:r>
        <w:rPr>
          <w:b/>
          <w:bCs/>
        </w:rPr>
        <w:t xml:space="preserve">The spectrum is inverted.</w:t>
      </w:r>
      <w:r>
        <w:t xml:space="preserve"> </w:t>
      </w:r>
      <w:r>
        <w:t xml:space="preserve">Sunlight is roughly 95 percent UVA. Enyrgy is over 90 percent UVB and under 10 percent UVA. Vitamin D synthesis requires UVB in the 280 to 315 nm band, which is what the platform is built to deliver and what visible-light and circadian lamps cannot produce at all.</w:t>
      </w:r>
    </w:p>
    <w:p>
      <w:pPr>
        <w:pStyle w:val="BodyText"/>
      </w:pPr>
      <w:r>
        <w:rPr>
          <w:b/>
          <w:bCs/>
        </w:rPr>
        <w:t xml:space="preserve">The dose is calculated, not timed.</w:t>
      </w:r>
      <w:r>
        <w:t xml:space="preserve"> </w:t>
      </w:r>
      <w:r>
        <w:t xml:space="preserve">The application reads each user’s Fitzpatrick skin type, calculates that person’s Minimum Erythemal Dose, and ends the session automatically. It also limits use to one session per day. Nobody estimates, and nobody watches a clock.</w:t>
      </w:r>
    </w:p>
    <w:p>
      <w:pPr>
        <w:pStyle w:val="BodyText"/>
      </w:pPr>
      <w:r>
        <w:t xml:space="preserve">That is the difference between this and legacy tanning equipment, which delivers the wrong part of the spectrum through a manual timer with no dosing control.</w:t>
      </w:r>
    </w:p>
    <w:bookmarkEnd w:id="26"/>
    <w:bookmarkStart w:id="27" w:name="the-scientific-advisory-board"/>
    <w:p>
      <w:pPr>
        <w:pStyle w:val="Heading2"/>
      </w:pPr>
      <w:r>
        <w:t xml:space="preserve">The scientific advisory board</w:t>
      </w:r>
    </w:p>
    <w:p>
      <w:pPr>
        <w:pStyle w:val="Compact"/>
        <w:numPr>
          <w:ilvl w:val="0"/>
          <w:numId w:val="1001"/>
        </w:numPr>
      </w:pPr>
      <w:r>
        <w:rPr>
          <w:b/>
          <w:bCs/>
        </w:rPr>
        <w:t xml:space="preserve">Dr. Bruce Hollis.</w:t>
      </w:r>
      <w:r>
        <w:t xml:space="preserve"> </w:t>
      </w:r>
      <w:r>
        <w:t xml:space="preserve">Over 70,000 citations and more than forty years on vitamin D research, much of it on the difference between oral supplementation and UVB-synthesized vitamin D. He has reviewed and endorsed the platform.</w:t>
      </w:r>
    </w:p>
    <w:p>
      <w:pPr>
        <w:pStyle w:val="Compact"/>
        <w:numPr>
          <w:ilvl w:val="0"/>
          <w:numId w:val="1001"/>
        </w:numPr>
      </w:pPr>
      <w:r>
        <w:rPr>
          <w:b/>
          <w:bCs/>
        </w:rPr>
        <w:t xml:space="preserve">Dr. Samantha Kimball.</w:t>
      </w:r>
      <w:r>
        <w:t xml:space="preserve"> </w:t>
      </w:r>
      <w:r>
        <w:t xml:space="preserve">Designed the MED dosing protocol behind every session. Over 100 peer-reviewed papers and two decades in UV therapy safety.</w:t>
      </w:r>
    </w:p>
    <w:p>
      <w:pPr>
        <w:pStyle w:val="Compact"/>
        <w:numPr>
          <w:ilvl w:val="0"/>
          <w:numId w:val="1001"/>
        </w:numPr>
      </w:pPr>
      <w:r>
        <w:rPr>
          <w:b/>
          <w:bCs/>
        </w:rPr>
        <w:t xml:space="preserve">Dr. William Grant.</w:t>
      </w:r>
      <w:r>
        <w:t xml:space="preserve"> </w:t>
      </w:r>
      <w:r>
        <w:t xml:space="preserve">NASA UVB researcher, with more than 350 peer-reviewed papers on vitamin D, sunlight and health outcomes.</w:t>
      </w:r>
    </w:p>
    <w:p>
      <w:r>
        <w:pict>
          <v:rect style="width:0;height:1.5pt" o:hralign="center" o:hrstd="t" o:hr="t"/>
        </w:pict>
      </w:r>
    </w:p>
    <w:bookmarkEnd w:id="27"/>
    <w:bookmarkStart w:id="28" w:name="what-we-believe-and-how-we-say-it"/>
    <w:p>
      <w:pPr>
        <w:pStyle w:val="Heading2"/>
      </w:pPr>
      <w:r>
        <w:t xml:space="preserve">What we believe, and how we say it</w:t>
      </w:r>
    </w:p>
    <w:p>
      <w:pPr>
        <w:pStyle w:val="FirstParagraph"/>
      </w:pPr>
      <w:r>
        <w:t xml:space="preserve">We are not a wellness brand. We do not sell transformation stories or lifestyle aesthetics. We sell a precisely engineered platform that gives the body a biological input it evolved to receive from sunlight, with precision and safety that sunlight never provided.</w:t>
      </w:r>
    </w:p>
    <w:p>
      <w:pPr>
        <w:pStyle w:val="BodyText"/>
      </w:pPr>
      <w:r>
        <w:t xml:space="preserve">The published literature associates vitamin D status with immune function, and with a range of outcomes that people commonly manage by symptom rather than by cause. That literature also indicates that natural UVB synthesis produces a cascade oral supplementation does not replicate: vitamin D sulfate, regulatory photoproducts, nitric oxide release through a separate UVA pathway, and serotonin production.</w:t>
      </w:r>
    </w:p>
    <w:p>
      <w:pPr>
        <w:pStyle w:val="BodyText"/>
      </w:pPr>
      <w:r>
        <w:rPr>
          <w:b/>
          <w:bCs/>
        </w:rPr>
        <w:t xml:space="preserve">We are careful about the line between those two paragraphs.</w:t>
      </w:r>
      <w:r>
        <w:t xml:space="preserve"> </w:t>
      </w:r>
      <w:r>
        <w:t xml:space="preserve">The literature belongs to the researchers who produced it, and we cite it rather than interpret it. What belongs to us is the platform, the dosing protocol, and a number on a lab report that a user can watch move.</w:t>
      </w:r>
    </w:p>
    <w:p>
      <w:pPr>
        <w:pStyle w:val="BodyText"/>
      </w:pPr>
      <w:r>
        <w:rPr>
          <w:b/>
          <w:bCs/>
        </w:rPr>
        <w:t xml:space="preserve">Enyrgy operates as a wellness device and makes no medical claims.</w:t>
      </w:r>
      <w:r>
        <w:t xml:space="preserve"> </w:t>
      </w:r>
      <w:r>
        <w:t xml:space="preserve">It raises and documents vitamin D levels. Marketing claims are held to general wellness benefits, and every clinical conclusion belongs to the user and their physician. The platform ships with a contraindication list, and the application will not run a session outside its calculated dose.</w:t>
      </w:r>
    </w:p>
    <w:p>
      <w:r>
        <w:pict>
          <v:rect style="width:0;height:1.5pt" o:hralign="center" o:hrstd="t" o:hr="t"/>
        </w:pict>
      </w:r>
    </w:p>
    <w:p>
      <w:pPr>
        <w:pStyle w:val="FirstParagraph"/>
      </w:pPr>
      <w:r>
        <w:rPr>
          <w:i/>
          <w:iCs/>
        </w:rPr>
        <w:t xml:space="preserve">Scott Hansbury, Co-founder and CEO | enyrgy.com</w:t>
      </w:r>
    </w:p>
    <w:p>
      <w:pPr>
        <w:pStyle w:val="BodyText"/>
      </w:pPr>
      <w:r>
        <w:rPr>
          <w:i/>
          <w:iCs/>
        </w:rPr>
        <w:t xml:space="preserve">CONFIDENTIAL</w:t>
      </w:r>
    </w:p>
    <w:bookmarkEnd w:id="28"/>
    <w:bookmarkEnd w:id="29"/>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Story and Clinical Data </w:t>
    </w:r>
    <w:proofErr w:type="gramStart"/>
    <w:r>
      <w:rPr>
        <w:rFonts w:ascii="Montserrat" w:eastAsia="Montserrat" w:hAnsi="Montserrat" w:cs="Montserrat"/>
        <w:b/>
        <w:bCs/>
        <w:color w:val="E64C38"/>
        <w:sz w:val="18"/>
        <w:szCs w:val="18"/>
      </w:rPr>
      <w:t xml:space="preserve">v1.0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2026-08-28T19:51:19Z</dcterms:created>
  <dcterms:modified xsi:type="dcterms:W3CDTF">2026-08-28T19:51:19Z</dcterms:modified>
</cp:coreProperties>
</file>

<file path=docProps/custom.xml><?xml version="1.0" encoding="utf-8"?>
<Properties xmlns="http://schemas.openxmlformats.org/officeDocument/2006/custom-properties" xmlns:vt="http://schemas.openxmlformats.org/officeDocument/2006/docPropsVTypes"/>
</file>