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20"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17"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17"/>
    <w:bookmarkStart w:id="18"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8"/>
    <w:bookmarkStart w:id="19"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9"/>
    <w:bookmarkEnd w:id="20"/>
    <w:bookmarkEnd w:id="21"/>
    <w:bookmarkStart w:id="26" w:name="c-suite-4"/>
    <w:p>
      <w:pPr>
        <w:pStyle w:val="Heading1"/>
      </w:pPr>
      <w:r>
        <w:t xml:space="preserve">C-Suite (4)</w:t>
      </w:r>
    </w:p>
    <w:bookmarkStart w:id="22"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22"/>
    <w:bookmarkStart w:id="23"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23"/>
    <w:bookmarkStart w:id="24"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24"/>
    <w:bookmarkStart w:id="25"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a placeholder until the securities attorney approves it);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25"/>
    <w:bookmarkEnd w:id="26"/>
    <w:bookmarkStart w:id="34" w:name="coo-division-7"/>
    <w:p>
      <w:pPr>
        <w:pStyle w:val="Heading1"/>
      </w:pPr>
      <w:r>
        <w:t xml:space="preserve">COO Division (7)</w:t>
      </w:r>
    </w:p>
    <w:bookmarkStart w:id="27"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8"/>
    <w:bookmarkStart w:id="29"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Read-only across contacts and opportunities; create tasks.</w:t>
      </w:r>
    </w:p>
    <w:p>
      <w:pPr>
        <w:pStyle w:val="BlockText"/>
      </w:pPr>
      <w:r>
        <w:rPr>
          <w:b/>
          <w:bCs/>
        </w:rPr>
        <w:t xml:space="preserve">Escalate to COO when:</w:t>
      </w:r>
      <w:r>
        <w:t xml:space="preserve"> </w:t>
      </w:r>
      <w:r>
        <w:t xml:space="preserve">an issue is systemic (many contacts affected), a workflow appears broken, or a fix needs a decision.</w:t>
      </w:r>
    </w:p>
    <w:p>
      <w:pPr>
        <w:pStyle w:val="BlockText"/>
      </w:pPr>
      <w:r>
        <w:rPr>
          <w:b/>
          <w:bCs/>
        </w:rPr>
        <w:t xml:space="preserve">Never:</w:t>
      </w:r>
      <w:r>
        <w:t xml:space="preserve"> </w:t>
      </w:r>
      <w:r>
        <w:t xml:space="preserve">send a prospect-facing message, change contact data yourself beyond opening tickets, or close a ticket you did not verify as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a placeholder until the securities attorney approves it),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30"/>
    <w:bookmarkStart w:id="31"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commitment action (subscription, term sheet, wire, or acceptance of investment) without verified accreditation,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32"/>
    <w:bookmarkStart w:id="33"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33"/>
    <w:bookmarkEnd w:id="34"/>
    <w:bookmarkStart w:id="41" w:name="cro-division-6"/>
    <w:p>
      <w:pPr>
        <w:pStyle w:val="Heading1"/>
      </w:pPr>
      <w:r>
        <w:t xml:space="preserve">CRO Division (6)</w:t>
      </w:r>
    </w:p>
    <w:bookmarkStart w:id="35"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35"/>
    <w:bookmarkStart w:id="36"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36"/>
    <w:bookmarkStart w:id="37"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37"/>
    <w:bookmarkStart w:id="38"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8"/>
    <w:bookmarkStart w:id="39"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referral activation, and re-feed referrals into the Consumer Drip. Send message, update tags and fields.</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 Escalate to the Client Success Manager.</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9"/>
    <w:bookmarkStart w:id="40"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40"/>
    <w:bookmarkEnd w:id="41"/>
    <w:bookmarkStart w:id="42"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document itself is still pending attorney approval; keep it as a placeholder until approved.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42"/>
    <w:bookmarkStart w:id="43" w:name="agent-to-workflow-map-quick-reference"/>
    <w:p>
      <w:pPr>
        <w:pStyle w:val="Heading1"/>
      </w:pPr>
      <w:r>
        <w:t xml:space="preserve">Agent-to-Workflow map (quick reference)</w:t>
      </w:r>
    </w:p>
    <w:tbl>
      <w:tblPr>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4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Paperclip Agent Instruction Blocks</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2026-07-26T19:20:11Z</dcterms:created>
  <dcterms:modified xsi:type="dcterms:W3CDTF">2026-07-26T19:20:11Z</dcterms:modified>
</cp:coreProperties>
</file>

<file path=docProps/custom.xml><?xml version="1.0" encoding="utf-8"?>
<Properties xmlns="http://schemas.openxmlformats.org/officeDocument/2006/custom-properties" xmlns:vt="http://schemas.openxmlformats.org/officeDocument/2006/docPropsVTypes"/>
</file>