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3.9.7</w:t>
      </w:r>
    </w:p>
    <w:p>
      <w:pPr>
        <w:pStyle w:val="BodyText"/>
      </w:pPr>
      <w:r>
        <w:rPr>
          <w:b/>
          <w:bCs/>
        </w:rPr>
        <w:t xml:space="preserve">Consumer Unit $2,995 · Commercial Unit $8,950 · 600+ Users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August 25, 2026 · Version 3.9.7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23" w:name="X903a202284d525ce488a2bb7897e84a177c088d"/>
    <w:p>
      <w:pPr>
        <w:pStyle w:val="Heading1"/>
      </w:pPr>
      <w:r>
        <w:t xml:space="preserve">SECTION 1: ENYRGY COMPANY CONTEXT &amp; UPDATED FACTS</w:t>
      </w:r>
    </w:p>
    <w:bookmarkStart w:id="1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19"/>
    <w:bookmarkStart w:id="20" w:name="updated-company-metrics"/>
    <w:p>
      <w:pPr>
        <w:pStyle w:val="Heading2"/>
      </w:pPr>
      <w:r>
        <w:t xml:space="preserve">Updated Company Metrics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Metric</w:t>
            </w:r>
          </w:p>
        </w:tc>
        <w:tc>
          <w:tcPr/>
          <w:p>
            <w:pPr>
              <w:pStyle w:val="Compact"/>
            </w:pPr>
            <w:r>
              <w:rPr>
                <w:b/>
                <w:bCs/>
              </w:rPr>
              <w:t xml:space="preserve">Value</w:t>
            </w:r>
          </w:p>
        </w:tc>
        <w:tc>
          <w:tcPr/>
          <w:p>
            <w:pPr>
              <w:pStyle w:val="Compact"/>
            </w:pPr>
            <w:r>
              <w:rPr>
                <w:b/>
                <w:bCs/>
              </w:rPr>
              <w:t xml:space="preserve">Notes</w:t>
            </w:r>
          </w:p>
        </w:tc>
      </w:tr>
      <w:tr>
        <w:tc>
          <w:tcPr/>
          <w:p>
            <w:pPr>
              <w:pStyle w:val="Compact"/>
            </w:pPr>
            <w:r>
              <w:t xml:space="preserve">Users</w:t>
            </w:r>
          </w:p>
        </w:tc>
        <w:tc>
          <w:tcPr/>
          <w:p>
            <w:pPr>
              <w:pStyle w:val="Compact"/>
            </w:pPr>
            <w:r>
              <w:t xml:space="preserve">600+</w:t>
            </w:r>
          </w:p>
        </w:tc>
        <w:tc>
          <w:tcPr/>
          <w:p>
            <w:pPr>
              <w:pStyle w:val="Compact"/>
            </w:pPr>
            <w:r>
              <w:t xml:space="preserve">Organic growth, zero paid advertising to date</w:t>
            </w:r>
          </w:p>
        </w:tc>
      </w:tr>
      <w:tr>
        <w:tc>
          <w:tcPr/>
          <w:p>
            <w:pPr>
              <w:pStyle w:val="Compact"/>
            </w:pPr>
            <w:r>
              <w:t xml:space="preserve">Treatments completed</w:t>
            </w:r>
          </w:p>
        </w:tc>
        <w:tc>
          <w:tcPr/>
          <w:p>
            <w:pPr>
              <w:pStyle w:val="Compact"/>
            </w:pPr>
            <w:r>
              <w:t xml:space="preserve">25,000+</w:t>
            </w:r>
          </w:p>
        </w:tc>
        <w:tc>
          <w:tcPr/>
          <w:p>
            <w:pPr>
              <w:pStyle w:val="Compact"/>
            </w:pPr>
            <w:r>
              <w:t xml:space="preserve">Zero burns, zero adverse events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Consumer Gross Margin</w:t>
            </w:r>
          </w:p>
        </w:tc>
        <w:tc>
          <w:tcPr/>
          <w:p>
            <w:pPr>
              <w:pStyle w:val="Compact"/>
            </w:pPr>
            <w:r>
              <w:t xml:space="preserve">66%</w:t>
            </w:r>
          </w:p>
        </w:tc>
        <w:tc>
          <w:tcPr/>
          <w:p>
            <w:pPr>
              <w:pStyle w:val="Compact"/>
            </w:pPr>
            <w:r>
              <w:t xml:space="preserve">Exceptional for hardware category</w:t>
            </w:r>
          </w:p>
        </w:tc>
      </w:tr>
      <w:tr>
        <w:tc>
          <w:tcPr/>
          <w:p>
            <w:pPr>
              <w:pStyle w:val="Compact"/>
            </w:pPr>
            <w:r>
              <w:t xml:space="preserve">Commercial Gross Margin</w:t>
            </w:r>
          </w:p>
        </w:tc>
        <w:tc>
          <w:tcPr/>
          <w:p>
            <w:pPr>
              <w:pStyle w:val="Compact"/>
            </w:pPr>
            <w:r>
              <w:t xml:space="preserve">78%</w:t>
            </w:r>
          </w:p>
        </w:tc>
        <w:tc>
          <w:tcPr/>
          <w:p>
            <w:pPr>
              <w:pStyle w:val="Compact"/>
            </w:pPr>
            <w:r>
              <w:t xml:space="preserve">Higher margin on commercial volume</w:t>
            </w:r>
          </w:p>
        </w:tc>
      </w:tr>
      <w:tr>
        <w:tc>
          <w:tcPr/>
          <w:p>
            <w:pPr>
              <w:pStyle w:val="Compact"/>
            </w:pPr>
            <w:r>
              <w:t xml:space="preserve">OEM White-Label Partner</w:t>
            </w:r>
          </w:p>
        </w:tc>
        <w:tc>
          <w:tcPr/>
          <w:p>
            <w:pPr>
              <w:pStyle w:val="Compact"/>
            </w:pPr>
            <w:r>
              <w:t xml:space="preserve">Lumanova (Luma D Light)</w:t>
            </w:r>
          </w:p>
        </w:tc>
        <w:tc>
          <w:tcPr/>
          <w:p>
            <w:pPr>
              <w:pStyle w:val="Compact"/>
            </w:pPr>
            <w:r>
              <w:t xml:space="preserve">Active, same MSRP. Seeking 1-2 more.</w:t>
            </w:r>
          </w:p>
        </w:tc>
      </w:tr>
      <w:tr>
        <w:tc>
          <w:tcPr/>
          <w:p>
            <w:pPr>
              <w:pStyle w:val="Compact"/>
            </w:pPr>
            <w:r>
              <w:t xml:space="preserve">Countries with demand</w:t>
            </w:r>
          </w:p>
        </w:tc>
        <w:tc>
          <w:tcPr/>
          <w:p>
            <w:pPr>
              <w:pStyle w:val="Compact"/>
            </w:pPr>
            <w:r>
              <w:t xml:space="preserve">5 USA, UK, Canada, France, New Zealand, all inbound</w:t>
            </w:r>
          </w:p>
        </w:tc>
        <w:tc>
          <w:tcPr/>
          <w:p>
            <w:pPr>
              <w:pStyle w:val="Compact"/>
            </w:pPr>
          </w:p>
        </w:tc>
      </w:tr>
      <w:tr>
        <w:tc>
          <w:tcPr/>
          <w:p>
            <w:pPr>
              <w:pStyle w:val="Compact"/>
            </w:pPr>
            <w:r>
              <w:t xml:space="preserve">Return rate</w:t>
            </w:r>
          </w:p>
        </w:tc>
        <w:tc>
          <w:tcPr/>
          <w:p>
            <w:pPr>
              <w:pStyle w:val="Compact"/>
            </w:pPr>
            <w:r>
              <w:t xml:space="preserve">&lt;1%</w:t>
            </w:r>
          </w:p>
        </w:tc>
        <w:tc>
          <w:tcPr/>
          <w:p>
            <w:pPr>
              <w:pStyle w:val="Compact"/>
            </w:pPr>
            <w:r>
              <w:t xml:space="preserve">Industry average 5-10%. Major trust signal.</w:t>
            </w:r>
          </w:p>
        </w:tc>
      </w:tr>
      <w:tr>
        <w:tc>
          <w:tcPr/>
          <w:p>
            <w:pPr>
              <w:pStyle w:val="Compact"/>
            </w:pPr>
            <w:r>
              <w:t xml:space="preserve">Manufacturing / Facility</w:t>
            </w:r>
          </w:p>
        </w:tc>
        <w:tc>
          <w:tcPr/>
          <w:p>
            <w:pPr>
              <w:pStyle w:val="Compact"/>
            </w:pPr>
            <w:r>
              <w:t xml:space="preserve">5115 N 27th Ave, Bld 66, Phoenix, AZ 85017</w:t>
            </w:r>
          </w:p>
        </w:tc>
        <w:tc>
          <w:tcPr/>
          <w:p>
            <w:pPr>
              <w:pStyle w:val="Compact"/>
            </w:pPr>
            <w:r>
              <w:t xml:space="preserve">Made in USA. Relocated from Scottsdale to this Phoenix facility.</w:t>
            </w:r>
          </w:p>
        </w:tc>
      </w:tr>
    </w:tbl>
    <w:bookmarkEnd w:id="20"/>
    <w:bookmarkStart w:id="2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users use both). Enyrgy is a new category.</w:t>
      </w:r>
    </w:p>
    <w:bookmarkEnd w:id="21"/>
    <w:bookmarkStart w:id="22" w:name="revenue-streams-pricing"/>
    <w:p>
      <w:pPr>
        <w:pStyle w:val="Heading2"/>
      </w:pPr>
      <w:r>
        <w:t xml:space="preserve">Revenue Streams &amp; Pricing</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Revenue Stream</w:t>
            </w:r>
          </w:p>
        </w:tc>
        <w:tc>
          <w:tcPr/>
          <w:p>
            <w:pPr>
              <w:pStyle w:val="Compact"/>
            </w:pPr>
            <w:r>
              <w:rPr>
                <w:b/>
                <w:bCs/>
              </w:rPr>
              <w:t xml:space="preserve">Price</w:t>
            </w:r>
          </w:p>
        </w:tc>
        <w:tc>
          <w:tcPr/>
          <w:p>
            <w:pPr>
              <w:pStyle w:val="Compact"/>
            </w:pPr>
            <w:r>
              <w:rPr>
                <w:b/>
                <w:bCs/>
              </w:rPr>
              <w:t xml:space="preserve">Margin</w:t>
            </w:r>
          </w:p>
        </w:tc>
        <w:tc>
          <w:tcPr/>
          <w:p>
            <w:pPr>
              <w:pStyle w:val="Compact"/>
            </w:pPr>
            <w:r>
              <w:rPr>
                <w:b/>
                <w:bCs/>
              </w:rPr>
              <w:t xml:space="preserve">Status</w:t>
            </w:r>
          </w:p>
        </w:tc>
      </w:tr>
      <w:tr>
        <w:tc>
          <w:tcPr/>
          <w:p>
            <w:pPr>
              <w:pStyle w:val="Compact"/>
            </w:pPr>
            <w:r>
              <w:t xml:space="preserve">Consumer Unit (DTC direct)</w:t>
            </w:r>
          </w:p>
        </w:tc>
        <w:tc>
          <w:tcPr/>
          <w:p>
            <w:pPr>
              <w:pStyle w:val="Compact"/>
            </w:pPr>
            <w:r>
              <w:t xml:space="preserve">$2,995</w:t>
            </w:r>
          </w:p>
        </w:tc>
        <w:tc>
          <w:tcPr/>
          <w:p>
            <w:pPr>
              <w:pStyle w:val="Compact"/>
            </w:pPr>
            <w:r>
              <w:t xml:space="preserve">66%</w:t>
            </w:r>
          </w:p>
        </w:tc>
        <w:tc>
          <w:tcPr/>
          <w:p>
            <w:pPr>
              <w:pStyle w:val="Compact"/>
            </w:pPr>
            <w:r>
              <w:t xml:space="preserve">Active, primary revenue driver</w:t>
            </w:r>
          </w:p>
        </w:tc>
      </w:tr>
      <w:tr>
        <w:tc>
          <w:tcPr/>
          <w:p>
            <w:pPr>
              <w:pStyle w:val="Compact"/>
            </w:pPr>
            <w:r>
              <w:t xml:space="preserve">Commercial Unit (B2B wellness)</w:t>
            </w:r>
          </w:p>
        </w:tc>
        <w:tc>
          <w:tcPr/>
          <w:p>
            <w:pPr>
              <w:pStyle w:val="Compact"/>
            </w:pPr>
            <w:r>
              <w:t xml:space="preserve">$8,950</w:t>
            </w:r>
          </w:p>
        </w:tc>
        <w:tc>
          <w:tcPr/>
          <w:p>
            <w:pPr>
              <w:pStyle w:val="Compact"/>
            </w:pPr>
            <w:r>
              <w:t xml:space="preserve">78%</w:t>
            </w:r>
          </w:p>
        </w:tc>
        <w:tc>
          <w:tcPr/>
          <w:p>
            <w:pPr>
              <w:pStyle w:val="Compact"/>
            </w:pPr>
            <w:r>
              <w:t xml:space="preserve">Active, growing</w:t>
            </w:r>
          </w:p>
        </w:tc>
      </w:tr>
      <w:tr>
        <w:tc>
          <w:tcPr/>
          <w:p>
            <w:pPr>
              <w:pStyle w:val="Compact"/>
            </w:pPr>
            <w:r>
              <w:t xml:space="preserve">OEM White-Label (Lumanova/Luma D Light)</w:t>
            </w:r>
          </w:p>
        </w:tc>
        <w:tc>
          <w:tcPr/>
          <w:p>
            <w:pPr>
              <w:pStyle w:val="Compact"/>
            </w:pPr>
            <w:r>
              <w:t xml:space="preserve">Wholesale</w:t>
            </w:r>
          </w:p>
        </w:tc>
        <w:tc>
          <w:tcPr/>
          <w:p>
            <w:pPr>
              <w:pStyle w:val="Compact"/>
            </w:pPr>
            <w:r>
              <w:t xml:space="preserve">Variable</w:t>
            </w:r>
          </w:p>
        </w:tc>
        <w:tc>
          <w:tcPr/>
          <w:p>
            <w:pPr>
              <w:pStyle w:val="Compact"/>
            </w:pPr>
            <w:r>
              <w:t xml:space="preserve">Active, 1 signed partner</w:t>
            </w:r>
          </w:p>
        </w:tc>
      </w:tr>
      <w:tr>
        <w:tc>
          <w:tcPr/>
          <w:p>
            <w:pPr>
              <w:pStyle w:val="Compact"/>
            </w:pPr>
            <w:r>
              <w:t xml:space="preserve">Investor Capital (Private Credit)</w:t>
            </w:r>
          </w:p>
        </w:tc>
        <w:tc>
          <w:tcPr/>
          <w:p>
            <w:pPr>
              <w:pStyle w:val="Compact"/>
            </w:pPr>
            <w:r>
              <w:t xml:space="preserve">$50K min, 12%/3yr</w:t>
            </w:r>
          </w:p>
        </w:tc>
        <w:tc>
          <w:tcPr/>
          <w:p>
            <w:pPr>
              <w:pStyle w:val="Compact"/>
            </w:pPr>
            <w:r>
              <w:t xml:space="preserve">N/A</w:t>
            </w:r>
          </w:p>
        </w:tc>
        <w:tc>
          <w:tcPr/>
          <w:p>
            <w:pPr>
              <w:pStyle w:val="Compact"/>
            </w:pPr>
            <w:r>
              <w:t xml:space="preserve">$3.5M offering, active raise</w:t>
            </w:r>
          </w:p>
        </w:tc>
      </w:tr>
    </w:tbl>
    <w:bookmarkEnd w:id="22"/>
    <w:bookmarkEnd w:id="23"/>
    <w:bookmarkStart w:id="29" w:name="X8b291bc1562de733447dfbc535b382740163587"/>
    <w:p>
      <w:pPr>
        <w:pStyle w:val="Heading1"/>
      </w:pPr>
      <w:r>
        <w:t xml:space="preserve">SECTION 2: AUTOMATION ARCHITECTURE: PAPERCLIP AGENT SYSTEM + HUMAN IN THE LOOP (HITL)</w:t>
      </w:r>
    </w:p>
    <w:bookmarkStart w:id="2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24"/>
    <w:bookmarkStart w:id="2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25"/>
    <w:bookmarkStart w:id="2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26"/>
    <w:bookmarkStart w:id="2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27"/>
    <w:bookmarkStart w:id="2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28"/>
    <w:bookmarkEnd w:id="29"/>
    <w:bookmarkStart w:id="3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30" w:name="c-suite-layer-3-agents"/>
    <w:p>
      <w:pPr>
        <w:pStyle w:val="Heading2"/>
      </w:pPr>
      <w:r>
        <w:t xml:space="preserve">C-Suite Layer (3 Agents)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Agent</w:t>
            </w:r>
          </w:p>
        </w:tc>
        <w:tc>
          <w:tcPr/>
          <w:p>
            <w:pPr>
              <w:pStyle w:val="Compact"/>
            </w:pPr>
            <w:r>
              <w:rPr>
                <w:b/>
                <w:bCs/>
              </w:rPr>
              <w:t xml:space="preserve">Function</w:t>
            </w:r>
          </w:p>
        </w:tc>
        <w:tc>
          <w:tcPr/>
          <w:p>
            <w:pPr>
              <w:pStyle w:val="Compact"/>
            </w:pPr>
            <w:r>
              <w:rPr>
                <w:b/>
                <w:bCs/>
              </w:rPr>
              <w:t xml:space="preserve">Key Decisions</w:t>
            </w:r>
          </w:p>
        </w:tc>
        <w:tc>
          <w:tcPr/>
          <w:p>
            <w:pPr>
              <w:pStyle w:val="Compact"/>
            </w:pPr>
            <w:r>
              <w:rPr>
                <w:b/>
                <w:bCs/>
              </w:rPr>
              <w:t xml:space="preserve">Escalates To</w:t>
            </w:r>
          </w:p>
        </w:tc>
      </w:tr>
      <w:tr>
        <w:tc>
          <w:tcPr/>
          <w:p>
            <w:pPr>
              <w:pStyle w:val="Compact"/>
            </w:pPr>
            <w:r>
              <w:t xml:space="preserve">CEO Agent</w:t>
            </w:r>
          </w:p>
        </w:tc>
        <w:tc>
          <w:tcPr/>
          <w:p>
            <w:pPr>
              <w:pStyle w:val="Compact"/>
            </w:pPr>
            <w:r>
              <w:t xml:space="preserve">Executive Orchestrator</w:t>
            </w:r>
          </w:p>
        </w:tc>
        <w:tc>
          <w:tcPr/>
          <w:p>
            <w:pPr>
              <w:pStyle w:val="Compact"/>
            </w:pPr>
            <w:r>
              <w:t xml:space="preserve">Cross-division routing, strategic escalation, OEM oversight</w:t>
            </w:r>
          </w:p>
        </w:tc>
        <w:tc>
          <w:tcPr/>
          <w:p>
            <w:pPr>
              <w:pStyle w:val="Compact"/>
            </w:pPr>
            <w:r>
              <w:t xml:space="preserve">Human founders</w:t>
            </w:r>
          </w:p>
        </w:tc>
      </w:tr>
      <w:tr>
        <w:tc>
          <w:tcPr/>
          <w:p>
            <w:pPr>
              <w:pStyle w:val="Compact"/>
            </w:pPr>
            <w:r>
              <w:t xml:space="preserve">COO Agent</w:t>
            </w:r>
          </w:p>
        </w:tc>
        <w:tc>
          <w:tcPr/>
          <w:p>
            <w:pPr>
              <w:pStyle w:val="Compact"/>
            </w:pPr>
            <w:r>
              <w:t xml:space="preserve">Operations Head</w:t>
            </w:r>
          </w:p>
        </w:tc>
        <w:tc>
          <w:tcPr/>
          <w:p>
            <w:pPr>
              <w:pStyle w:val="Compact"/>
            </w:pPr>
            <w:r>
              <w:t xml:space="preserve">Capacity, ops quality, compliance oversight</w:t>
            </w:r>
          </w:p>
        </w:tc>
        <w:tc>
          <w:tcPr/>
          <w:p>
            <w:pPr>
              <w:pStyle w:val="Compact"/>
            </w:pPr>
            <w:r>
              <w:t xml:space="preserve">CEO Agent</w:t>
            </w:r>
          </w:p>
        </w:tc>
      </w:tr>
      <w:tr>
        <w:tc>
          <w:tcPr/>
          <w:p>
            <w:pPr>
              <w:pStyle w:val="Compact"/>
            </w:pPr>
            <w:r>
              <w:t xml:space="preserve">CRO Agent</w:t>
            </w:r>
          </w:p>
        </w:tc>
        <w:tc>
          <w:tcPr/>
          <w:p>
            <w:pPr>
              <w:pStyle w:val="Compact"/>
            </w:pPr>
            <w:r>
              <w:t xml:space="preserve">Revenue Head</w:t>
            </w:r>
          </w:p>
        </w:tc>
        <w:tc>
          <w:tcPr/>
          <w:p>
            <w:pPr>
              <w:pStyle w:val="Compact"/>
            </w:pPr>
            <w:r>
              <w:t xml:space="preserve">Funnel conversion, drip performance, pipeline health</w:t>
            </w:r>
          </w:p>
        </w:tc>
        <w:tc>
          <w:tcPr/>
          <w:p>
            <w:pPr>
              <w:pStyle w:val="Compact"/>
            </w:pPr>
            <w:r>
              <w:t xml:space="preserve">CEO Agent</w:t>
            </w:r>
          </w:p>
        </w:tc>
      </w:tr>
    </w:tbl>
    <w:bookmarkEnd w:id="30"/>
    <w:bookmarkStart w:id="31" w:name="coo-division-7-agents"/>
    <w:p>
      <w:pPr>
        <w:pStyle w:val="Heading2"/>
      </w:pPr>
      <w:r>
        <w:t xml:space="preserve">COO Division (7 Agents)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Agent</w:t>
            </w:r>
          </w:p>
        </w:tc>
        <w:tc>
          <w:tcPr/>
          <w:p>
            <w:pPr>
              <w:pStyle w:val="Compact"/>
            </w:pPr>
            <w:r>
              <w:rPr>
                <w:b/>
                <w:bCs/>
              </w:rPr>
              <w:t xml:space="preserve">Function</w:t>
            </w:r>
          </w:p>
        </w:tc>
        <w:tc>
          <w:tcPr/>
          <w:p>
            <w:pPr>
              <w:pStyle w:val="Compact"/>
            </w:pPr>
            <w:r>
              <w:rPr>
                <w:b/>
                <w:bCs/>
              </w:rPr>
              <w:t xml:space="preserve">Drip Role</w:t>
            </w:r>
          </w:p>
        </w:tc>
      </w:tr>
      <w:tr>
        <w:tc>
          <w:tcPr/>
          <w:p>
            <w:pPr>
              <w:pStyle w:val="Compact"/>
            </w:pPr>
            <w:r>
              <w:t xml:space="preserve">Dispatcher</w:t>
            </w:r>
          </w:p>
        </w:tc>
        <w:tc>
          <w:tcPr/>
          <w:p>
            <w:pPr>
              <w:pStyle w:val="Compact"/>
            </w:pPr>
            <w:r>
              <w:t xml:space="preserve">Routes inbound leads</w:t>
            </w:r>
          </w:p>
        </w:tc>
        <w:tc>
          <w:tcPr/>
          <w:p>
            <w:pPr>
              <w:pStyle w:val="Compact"/>
            </w:pPr>
            <w:r>
              <w:t xml:space="preserve">Triggers correct drip on lead entry</w:t>
            </w:r>
          </w:p>
        </w:tc>
      </w:tr>
      <w:tr>
        <w:tc>
          <w:tcPr/>
          <w:p>
            <w:pPr>
              <w:pStyle w:val="Compact"/>
            </w:pPr>
            <w:r>
              <w:t xml:space="preserve">Onboarding</w:t>
            </w:r>
          </w:p>
        </w:tc>
        <w:tc>
          <w:tcPr/>
          <w:p>
            <w:pPr>
              <w:pStyle w:val="Compact"/>
            </w:pPr>
            <w:r>
              <w:t xml:space="preserve">New customer activation</w:t>
            </w:r>
          </w:p>
        </w:tc>
        <w:tc>
          <w:tcPr/>
          <w:p>
            <w:pPr>
              <w:pStyle w:val="Compact"/>
            </w:pPr>
            <w:r>
              <w:t xml:space="preserve">Runs WF-06 post-purchase onboarding</w:t>
            </w:r>
          </w:p>
        </w:tc>
      </w:tr>
      <w:tr>
        <w:tc>
          <w:tcPr/>
          <w:p>
            <w:pPr>
              <w:pStyle w:val="Compact"/>
            </w:pPr>
            <w:r>
              <w:t xml:space="preserve">Quality Control</w:t>
            </w:r>
          </w:p>
        </w:tc>
        <w:tc>
          <w:tcPr/>
          <w:p>
            <w:pPr>
              <w:pStyle w:val="Compact"/>
            </w:pPr>
            <w:r>
              <w:t xml:space="preserve">Data/workflow auditing</w:t>
            </w:r>
          </w:p>
        </w:tc>
        <w:tc>
          <w:tcPr/>
          <w:p>
            <w:pPr>
              <w:pStyle w:val="Compact"/>
            </w:pPr>
            <w:r>
              <w:t xml:space="preserve">Reviews drip engagement weekly</w:t>
            </w:r>
          </w:p>
        </w:tc>
      </w:tr>
      <w:tr>
        <w:tc>
          <w:tcPr/>
          <w:p>
            <w:pPr>
              <w:pStyle w:val="Compact"/>
            </w:pPr>
            <w:r>
              <w:t xml:space="preserve">KB Manager</w:t>
            </w:r>
          </w:p>
        </w:tc>
        <w:tc>
          <w:tcPr/>
          <w:p>
            <w:pPr>
              <w:pStyle w:val="Compact"/>
            </w:pPr>
            <w:r>
              <w:t xml:space="preserve">Knowledge base maintenance</w:t>
            </w:r>
          </w:p>
        </w:tc>
        <w:tc>
          <w:tcPr/>
          <w:p>
            <w:pPr>
              <w:pStyle w:val="Compact"/>
            </w:pPr>
            <w:r>
              <w:t xml:space="preserve">Updates drip templates when facts change</w:t>
            </w:r>
          </w:p>
        </w:tc>
      </w:tr>
      <w:tr>
        <w:tc>
          <w:tcPr/>
          <w:p>
            <w:pPr>
              <w:pStyle w:val="Compact"/>
            </w:pPr>
            <w:r>
              <w:t xml:space="preserve">Sentinel</w:t>
            </w:r>
          </w:p>
        </w:tc>
        <w:tc>
          <w:tcPr/>
          <w:p>
            <w:pPr>
              <w:pStyle w:val="Compact"/>
            </w:pPr>
            <w:r>
              <w:t xml:space="preserve">Stale lead monitoring</w:t>
            </w:r>
          </w:p>
        </w:tc>
        <w:tc>
          <w:tcPr/>
          <w:p>
            <w:pPr>
              <w:pStyle w:val="Compact"/>
            </w:pPr>
            <w:r>
              <w:t xml:space="preserve">Flags contacts who dropped out mid-sequence (WF-04)</w:t>
            </w:r>
          </w:p>
        </w:tc>
      </w:tr>
      <w:tr>
        <w:tc>
          <w:tcPr/>
          <w:p>
            <w:pPr>
              <w:pStyle w:val="Compact"/>
            </w:pPr>
            <w:r>
              <w:t xml:space="preserve">Audit and Compliance</w:t>
            </w:r>
          </w:p>
        </w:tc>
        <w:tc>
          <w:tcPr/>
          <w:p>
            <w:pPr>
              <w:pStyle w:val="Compact"/>
            </w:pPr>
            <w:r>
              <w:t xml:space="preserve">Content/legal review</w:t>
            </w:r>
          </w:p>
        </w:tc>
        <w:tc>
          <w:tcPr/>
          <w:p>
            <w:pPr>
              <w:pStyle w:val="Compact"/>
            </w:pPr>
            <w:r>
              <w:t xml:space="preserve">Reviews every drip message; investor gate (WF-09)</w:t>
            </w:r>
          </w:p>
        </w:tc>
      </w:tr>
      <w:tr>
        <w:tc>
          <w:tcPr/>
          <w:p>
            <w:pPr>
              <w:pStyle w:val="Compact"/>
            </w:pPr>
            <w:r>
              <w:t xml:space="preserve">PRD Gatherer</w:t>
            </w:r>
          </w:p>
        </w:tc>
        <w:tc>
          <w:tcPr/>
          <w:p>
            <w:pPr>
              <w:pStyle w:val="Compact"/>
            </w:pPr>
            <w:r>
              <w:t xml:space="preserve">Requirements collection</w:t>
            </w:r>
          </w:p>
        </w:tc>
        <w:tc>
          <w:tcPr/>
          <w:p>
            <w:pPr>
              <w:pStyle w:val="Compact"/>
            </w:pPr>
            <w:r>
              <w:t xml:space="preserve">Deploys info-gathering emails in B2B sequences</w:t>
            </w:r>
          </w:p>
        </w:tc>
      </w:tr>
    </w:tbl>
    <w:bookmarkEnd w:id="31"/>
    <w:bookmarkStart w:id="32" w:name="cro-division-6-agents"/>
    <w:p>
      <w:pPr>
        <w:pStyle w:val="Heading2"/>
      </w:pPr>
      <w:r>
        <w:t xml:space="preserve">CRO Division (6 Agents)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Agent</w:t>
            </w:r>
          </w:p>
        </w:tc>
        <w:tc>
          <w:tcPr/>
          <w:p>
            <w:pPr>
              <w:pStyle w:val="Compact"/>
            </w:pPr>
            <w:r>
              <w:rPr>
                <w:b/>
                <w:bCs/>
              </w:rPr>
              <w:t xml:space="preserve">Function</w:t>
            </w:r>
          </w:p>
        </w:tc>
        <w:tc>
          <w:tcPr/>
          <w:p>
            <w:pPr>
              <w:pStyle w:val="Compact"/>
            </w:pPr>
            <w:r>
              <w:rPr>
                <w:b/>
                <w:bCs/>
              </w:rPr>
              <w:t xml:space="preserve">Drip Role</w:t>
            </w:r>
          </w:p>
        </w:tc>
      </w:tr>
      <w:tr>
        <w:tc>
          <w:tcPr/>
          <w:p>
            <w:pPr>
              <w:pStyle w:val="Compact"/>
            </w:pPr>
            <w:r>
              <w:t xml:space="preserve">Sales Scout</w:t>
            </w:r>
          </w:p>
        </w:tc>
        <w:tc>
          <w:tcPr/>
          <w:p>
            <w:pPr>
              <w:pStyle w:val="Compact"/>
            </w:pPr>
            <w:r>
              <w:t xml:space="preserve">Lead identification</w:t>
            </w:r>
          </w:p>
        </w:tc>
        <w:tc>
          <w:tcPr/>
          <w:p>
            <w:pPr>
              <w:pStyle w:val="Compact"/>
            </w:pPr>
            <w:r>
              <w:t xml:space="preserve">Identifies ToFu targets; runs WF-10 monthly</w:t>
            </w:r>
          </w:p>
        </w:tc>
      </w:tr>
      <w:tr>
        <w:tc>
          <w:tcPr/>
          <w:p>
            <w:pPr>
              <w:pStyle w:val="Compact"/>
            </w:pPr>
            <w:r>
              <w:t xml:space="preserve">Sales Outreach</w:t>
            </w:r>
          </w:p>
        </w:tc>
        <w:tc>
          <w:tcPr/>
          <w:p>
            <w:pPr>
              <w:pStyle w:val="Compact"/>
            </w:pPr>
            <w:r>
              <w:t xml:space="preserve">Multi-touch nurturing</w:t>
            </w:r>
          </w:p>
        </w:tc>
        <w:tc>
          <w:tcPr/>
          <w:p>
            <w:pPr>
              <w:pStyle w:val="Compact"/>
            </w:pPr>
            <w:r>
              <w:t xml:space="preserve">Executes all drip campaigns autonomously</w:t>
            </w:r>
          </w:p>
        </w:tc>
      </w:tr>
      <w:tr>
        <w:tc>
          <w:tcPr/>
          <w:p>
            <w:pPr>
              <w:pStyle w:val="Compact"/>
            </w:pPr>
            <w:r>
              <w:t xml:space="preserve">SDR</w:t>
            </w:r>
          </w:p>
        </w:tc>
        <w:tc>
          <w:tcPr/>
          <w:p>
            <w:pPr>
              <w:pStyle w:val="Compact"/>
            </w:pPr>
            <w:r>
              <w:t xml:space="preserve">Qualification and booking</w:t>
            </w:r>
          </w:p>
        </w:tc>
        <w:tc>
          <w:tcPr/>
          <w:p>
            <w:pPr>
              <w:pStyle w:val="Compact"/>
            </w:pPr>
            <w:r>
              <w:t xml:space="preserve">Activates after lead score 70+ or demo request</w:t>
            </w:r>
          </w:p>
        </w:tc>
      </w:tr>
      <w:tr>
        <w:tc>
          <w:tcPr/>
          <w:p>
            <w:pPr>
              <w:pStyle w:val="Compact"/>
            </w:pPr>
            <w:r>
              <w:t xml:space="preserve">Client Success Manager</w:t>
            </w:r>
          </w:p>
        </w:tc>
        <w:tc>
          <w:tcPr/>
          <w:p>
            <w:pPr>
              <w:pStyle w:val="Compact"/>
            </w:pPr>
            <w:r>
              <w:t xml:space="preserve">Post-close retention</w:t>
            </w:r>
          </w:p>
        </w:tc>
        <w:tc>
          <w:tcPr/>
          <w:p>
            <w:pPr>
              <w:pStyle w:val="Compact"/>
            </w:pPr>
            <w:r>
              <w:t xml:space="preserve">Onboarding check-ins; quarterly investor updates</w:t>
            </w:r>
          </w:p>
        </w:tc>
      </w:tr>
      <w:tr>
        <w:tc>
          <w:tcPr/>
          <w:p>
            <w:pPr>
              <w:pStyle w:val="Compact"/>
            </w:pPr>
            <w:r>
              <w:t xml:space="preserve">Referral and Reviews</w:t>
            </w:r>
          </w:p>
        </w:tc>
        <w:tc>
          <w:tcPr/>
          <w:p>
            <w:pPr>
              <w:pStyle w:val="Compact"/>
            </w:pPr>
            <w:r>
              <w:t xml:space="preserve">Growth via existing base</w:t>
            </w:r>
          </w:p>
        </w:tc>
        <w:tc>
          <w:tcPr/>
          <w:p>
            <w:pPr>
              <w:pStyle w:val="Compact"/>
            </w:pPr>
            <w:r>
              <w:t xml:space="preserve">Runs WF-07; re-feeds referrals to Consumer Drip</w:t>
            </w:r>
          </w:p>
        </w:tc>
      </w:tr>
      <w:tr>
        <w:tc>
          <w:tcPr/>
          <w:p>
            <w:pPr>
              <w:pStyle w:val="Compact"/>
            </w:pPr>
            <w:r>
              <w:t xml:space="preserve">Reactivation</w:t>
            </w:r>
          </w:p>
        </w:tc>
        <w:tc>
          <w:tcPr/>
          <w:p>
            <w:pPr>
              <w:pStyle w:val="Compact"/>
            </w:pPr>
            <w:r>
              <w:t xml:space="preserve">Cold lead revival</w:t>
            </w:r>
          </w:p>
        </w:tc>
        <w:tc>
          <w:tcPr/>
          <w:p>
            <w:pPr>
              <w:pStyle w:val="Compact"/>
            </w:pPr>
            <w:r>
              <w:t xml:space="preserve">Runs 4-touch reactivation (WF-08)</w:t>
            </w:r>
          </w:p>
        </w:tc>
      </w:tr>
    </w:tbl>
    <w:bookmarkEnd w:id="32"/>
    <w:bookmarkStart w:id="33" w:name="agent-to-workflow-mapping"/>
    <w:p>
      <w:pPr>
        <w:pStyle w:val="Heading2"/>
      </w:pPr>
      <w:r>
        <w:t xml:space="preserve">Agent-to-Workflow Mapping</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Workflow</w:t>
            </w:r>
          </w:p>
        </w:tc>
        <w:tc>
          <w:tcPr/>
          <w:p>
            <w:pPr>
              <w:pStyle w:val="Compact"/>
            </w:pPr>
            <w:r>
              <w:rPr>
                <w:b/>
                <w:bCs/>
              </w:rPr>
              <w:t xml:space="preserve">Primary Agent</w:t>
            </w:r>
          </w:p>
        </w:tc>
        <w:tc>
          <w:tcPr/>
          <w:p>
            <w:pPr>
              <w:pStyle w:val="Compact"/>
            </w:pPr>
            <w:r>
              <w:rPr>
                <w:b/>
                <w:bCs/>
              </w:rPr>
              <w:t xml:space="preserve">Backup / Escalation</w:t>
            </w:r>
          </w:p>
        </w:tc>
      </w:tr>
      <w:tr>
        <w:tc>
          <w:tcPr/>
          <w:p>
            <w:pPr>
              <w:pStyle w:val="Compact"/>
            </w:pPr>
            <w:r>
              <w:t xml:space="preserve">WF-01 New Lead Router</w:t>
            </w:r>
          </w:p>
        </w:tc>
        <w:tc>
          <w:tcPr/>
          <w:p>
            <w:pPr>
              <w:pStyle w:val="Compact"/>
            </w:pPr>
            <w:r>
              <w:t xml:space="preserve">Dispatcher</w:t>
            </w:r>
          </w:p>
        </w:tc>
        <w:tc>
          <w:tcPr/>
          <w:p>
            <w:pPr>
              <w:pStyle w:val="Compact"/>
            </w:pPr>
            <w:r>
              <w:t xml:space="preserve">COO Agent</w:t>
            </w:r>
          </w:p>
        </w:tc>
      </w:tr>
      <w:tr>
        <w:tc>
          <w:tcPr/>
          <w:p>
            <w:pPr>
              <w:pStyle w:val="Compact"/>
            </w:pPr>
            <w:r>
              <w:t xml:space="preserve">WF-02 5-Minute First Response</w:t>
            </w:r>
          </w:p>
        </w:tc>
        <w:tc>
          <w:tcPr/>
          <w:p>
            <w:pPr>
              <w:pStyle w:val="Compact"/>
            </w:pPr>
            <w:r>
              <w:t xml:space="preserve">Sales Outreach</w:t>
            </w:r>
          </w:p>
        </w:tc>
        <w:tc>
          <w:tcPr/>
          <w:p>
            <w:pPr>
              <w:pStyle w:val="Compact"/>
            </w:pPr>
            <w:r>
              <w:t xml:space="preserve">Dispatcher</w:t>
            </w:r>
          </w:p>
        </w:tc>
      </w:tr>
      <w:tr>
        <w:tc>
          <w:tcPr/>
          <w:p>
            <w:pPr>
              <w:pStyle w:val="Compact"/>
            </w:pPr>
            <w:r>
              <w:t xml:space="preserve">WF-03 Lead Score Updater</w:t>
            </w:r>
          </w:p>
        </w:tc>
        <w:tc>
          <w:tcPr/>
          <w:p>
            <w:pPr>
              <w:pStyle w:val="Compact"/>
            </w:pPr>
            <w:r>
              <w:t xml:space="preserve">SDR</w:t>
            </w:r>
          </w:p>
        </w:tc>
        <w:tc>
          <w:tcPr/>
          <w:p>
            <w:pPr>
              <w:pStyle w:val="Compact"/>
            </w:pPr>
            <w:r>
              <w:t xml:space="preserve">CRO Agent</w:t>
            </w:r>
          </w:p>
        </w:tc>
      </w:tr>
      <w:tr>
        <w:tc>
          <w:tcPr/>
          <w:p>
            <w:pPr>
              <w:pStyle w:val="Compact"/>
            </w:pPr>
            <w:r>
              <w:t xml:space="preserve">WF-04 Stale Lead Sentinel</w:t>
            </w:r>
          </w:p>
        </w:tc>
        <w:tc>
          <w:tcPr/>
          <w:p>
            <w:pPr>
              <w:pStyle w:val="Compact"/>
            </w:pPr>
            <w:r>
              <w:t xml:space="preserve">Sentinel</w:t>
            </w:r>
          </w:p>
        </w:tc>
        <w:tc>
          <w:tcPr/>
          <w:p>
            <w:pPr>
              <w:pStyle w:val="Compact"/>
            </w:pPr>
            <w:r>
              <w:t xml:space="preserve">COO Agent -&gt; CEO Agent</w:t>
            </w:r>
          </w:p>
        </w:tc>
      </w:tr>
      <w:tr>
        <w:tc>
          <w:tcPr/>
          <w:p>
            <w:pPr>
              <w:pStyle w:val="Compact"/>
            </w:pPr>
            <w:r>
              <w:t xml:space="preserve">WF-05 Demo Completion to Proposal</w:t>
            </w:r>
          </w:p>
        </w:tc>
        <w:tc>
          <w:tcPr/>
          <w:p>
            <w:pPr>
              <w:pStyle w:val="Compact"/>
            </w:pPr>
            <w:r>
              <w:t xml:space="preserve">SDR</w:t>
            </w:r>
          </w:p>
        </w:tc>
        <w:tc>
          <w:tcPr/>
          <w:p>
            <w:pPr>
              <w:pStyle w:val="Compact"/>
            </w:pPr>
            <w:r>
              <w:t xml:space="preserve">Human (Scott/David)</w:t>
            </w:r>
          </w:p>
        </w:tc>
      </w:tr>
      <w:tr>
        <w:tc>
          <w:tcPr/>
          <w:p>
            <w:pPr>
              <w:pStyle w:val="Compact"/>
            </w:pPr>
            <w:r>
              <w:t xml:space="preserve">WF-06 New Customer Onboarding</w:t>
            </w:r>
          </w:p>
        </w:tc>
        <w:tc>
          <w:tcPr/>
          <w:p>
            <w:pPr>
              <w:pStyle w:val="Compact"/>
            </w:pPr>
            <w:r>
              <w:t xml:space="preserve">Onboarding</w:t>
            </w:r>
          </w:p>
        </w:tc>
        <w:tc>
          <w:tcPr/>
          <w:p>
            <w:pPr>
              <w:pStyle w:val="Compact"/>
            </w:pPr>
            <w:r>
              <w:t xml:space="preserve">CSM</w:t>
            </w:r>
          </w:p>
        </w:tc>
      </w:tr>
      <w:tr>
        <w:tc>
          <w:tcPr/>
          <w:p>
            <w:pPr>
              <w:pStyle w:val="Compact"/>
            </w:pPr>
            <w:r>
              <w:t xml:space="preserve">WF-07 Review and Referral Activation</w:t>
            </w:r>
          </w:p>
        </w:tc>
        <w:tc>
          <w:tcPr/>
          <w:p>
            <w:pPr>
              <w:pStyle w:val="Compact"/>
            </w:pPr>
            <w:r>
              <w:t xml:space="preserve">Referral and Reviews</w:t>
            </w:r>
          </w:p>
        </w:tc>
        <w:tc>
          <w:tcPr/>
          <w:p>
            <w:pPr>
              <w:pStyle w:val="Compact"/>
            </w:pPr>
            <w:r>
              <w:t xml:space="preserve">CSM</w:t>
            </w:r>
          </w:p>
        </w:tc>
      </w:tr>
      <w:tr>
        <w:tc>
          <w:tcPr/>
          <w:p>
            <w:pPr>
              <w:pStyle w:val="Compact"/>
            </w:pPr>
            <w:r>
              <w:t xml:space="preserve">WF-08 Reactivation Campaign</w:t>
            </w:r>
          </w:p>
        </w:tc>
        <w:tc>
          <w:tcPr/>
          <w:p>
            <w:pPr>
              <w:pStyle w:val="Compact"/>
            </w:pPr>
            <w:r>
              <w:t xml:space="preserve">Reactivation</w:t>
            </w:r>
          </w:p>
        </w:tc>
        <w:tc>
          <w:tcPr/>
          <w:p>
            <w:pPr>
              <w:pStyle w:val="Compact"/>
            </w:pPr>
            <w:r>
              <w:t xml:space="preserve">CRO Agent</w:t>
            </w:r>
          </w:p>
        </w:tc>
      </w:tr>
      <w:tr>
        <w:tc>
          <w:tcPr/>
          <w:p>
            <w:pPr>
              <w:pStyle w:val="Compact"/>
            </w:pPr>
            <w:r>
              <w:t xml:space="preserve">WF-09 Compliance Guardian</w:t>
            </w:r>
          </w:p>
        </w:tc>
        <w:tc>
          <w:tcPr/>
          <w:p>
            <w:pPr>
              <w:pStyle w:val="Compact"/>
            </w:pPr>
            <w:r>
              <w:t xml:space="preserve">Audit and Compliance</w:t>
            </w:r>
          </w:p>
        </w:tc>
        <w:tc>
          <w:tcPr/>
          <w:p>
            <w:pPr>
              <w:pStyle w:val="Compact"/>
            </w:pPr>
            <w:r>
              <w:t xml:space="preserve">COO Agent -&gt; Human legal</w:t>
            </w:r>
          </w:p>
        </w:tc>
      </w:tr>
      <w:tr>
        <w:tc>
          <w:tcPr/>
          <w:p>
            <w:pPr>
              <w:pStyle w:val="Compact"/>
            </w:pPr>
            <w:r>
              <w:t xml:space="preserve">WF-10 Partner Expansion Trigger</w:t>
            </w:r>
          </w:p>
        </w:tc>
        <w:tc>
          <w:tcPr/>
          <w:p>
            <w:pPr>
              <w:pStyle w:val="Compact"/>
            </w:pPr>
            <w:r>
              <w:t xml:space="preserve">Sales Scout</w:t>
            </w:r>
          </w:p>
        </w:tc>
        <w:tc>
          <w:tcPr/>
          <w:p>
            <w:pPr>
              <w:pStyle w:val="Compact"/>
            </w:pPr>
            <w:r>
              <w:t xml:space="preserve">COO Agent</w:t>
            </w:r>
          </w:p>
        </w:tc>
      </w:tr>
    </w:tbl>
    <w:bookmarkEnd w:id="33"/>
    <w:bookmarkStart w:id="3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34"/>
    <w:bookmarkStart w:id="3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35"/>
    <w:bookmarkStart w:id="3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$1.15;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36"/>
    <w:bookmarkEnd w:id="37"/>
    <w:bookmarkStart w:id="3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Funnel</w:t>
            </w:r>
          </w:p>
        </w:tc>
        <w:tc>
          <w:tcPr/>
          <w:p>
            <w:pPr>
              <w:pStyle w:val="Compact"/>
            </w:pPr>
            <w:r>
              <w:rPr>
                <w:b/>
                <w:bCs/>
              </w:rPr>
              <w:t xml:space="preserve">Who They Are</w:t>
            </w:r>
          </w:p>
        </w:tc>
        <w:tc>
          <w:tcPr/>
          <w:p>
            <w:pPr>
              <w:pStyle w:val="Compact"/>
            </w:pPr>
            <w:r>
              <w:rPr>
                <w:b/>
                <w:bCs/>
              </w:rPr>
              <w:t xml:space="preserve">Conversion Goal</w:t>
            </w:r>
          </w:p>
        </w:tc>
        <w:tc>
          <w:tcPr/>
          <w:p>
            <w:pPr>
              <w:pStyle w:val="Compact"/>
            </w:pPr>
            <w:r>
              <w:rPr>
                <w:b/>
                <w:bCs/>
              </w:rPr>
              <w:t xml:space="preserve">Deal Value</w:t>
            </w:r>
          </w:p>
        </w:tc>
      </w:tr>
      <w:tr>
        <w:tc>
          <w:tcPr/>
          <w:p>
            <w:pPr>
              <w:pStyle w:val="Compact"/>
            </w:pPr>
            <w:r>
              <w:t xml:space="preserve">Consumer</w:t>
            </w:r>
          </w:p>
        </w:tc>
        <w:tc>
          <w:tcPr/>
          <w:p>
            <w:pPr>
              <w:pStyle w:val="Compact"/>
            </w:pPr>
            <w:r>
              <w:t xml:space="preserve">Individuals seeking Vitamin D, mood, sleep, performance</w:t>
            </w:r>
          </w:p>
        </w:tc>
        <w:tc>
          <w:tcPr/>
          <w:p>
            <w:pPr>
              <w:pStyle w:val="Compact"/>
            </w:pPr>
            <w:r>
              <w:t xml:space="preserve">Purchase Consumer Unit</w:t>
            </w:r>
          </w:p>
        </w:tc>
        <w:tc>
          <w:tcPr/>
          <w:p>
            <w:pPr>
              <w:pStyle w:val="Compact"/>
            </w:pPr>
            <w:r>
              <w:t xml:space="preserve">$2,995 + consumables/referrals</w:t>
            </w:r>
          </w:p>
        </w:tc>
      </w:tr>
      <w:tr>
        <w:tc>
          <w:tcPr/>
          <w:p>
            <w:pPr>
              <w:pStyle w:val="Compact"/>
            </w:pPr>
            <w:r>
              <w:t xml:space="preserve">Commercial</w:t>
            </w:r>
          </w:p>
        </w:tc>
        <w:tc>
          <w:tcPr/>
          <w:p>
            <w:pPr>
              <w:pStyle w:val="Compact"/>
            </w:pPr>
            <w:r>
              <w:t xml:space="preserve">Wellness centers, spas, clinics, gyms</w:t>
            </w:r>
          </w:p>
        </w:tc>
        <w:tc>
          <w:tcPr/>
          <w:p>
            <w:pPr>
              <w:pStyle w:val="Compact"/>
            </w:pPr>
            <w:r>
              <w:t xml:space="preserve">Purchase Commercial Unit(s)</w:t>
            </w:r>
          </w:p>
        </w:tc>
        <w:tc>
          <w:tcPr/>
          <w:p>
            <w:pPr>
              <w:pStyle w:val="Compact"/>
            </w:pPr>
            <w:r>
              <w:t xml:space="preserve">$8,950-$89,500+</w:t>
            </w:r>
          </w:p>
        </w:tc>
      </w:tr>
      <w:tr>
        <w:tc>
          <w:tcPr/>
          <w:p>
            <w:pPr>
              <w:pStyle w:val="Compact"/>
            </w:pPr>
            <w:r>
              <w:t xml:space="preserve">Investor</w:t>
            </w:r>
          </w:p>
        </w:tc>
        <w:tc>
          <w:tcPr/>
          <w:p>
            <w:pPr>
              <w:pStyle w:val="Compact"/>
            </w:pPr>
            <w:r>
              <w:t xml:space="preserve">Accredited investors, family offices</w:t>
            </w:r>
          </w:p>
        </w:tc>
        <w:tc>
          <w:tcPr/>
          <w:p>
            <w:pPr>
              <w:pStyle w:val="Compact"/>
            </w:pPr>
            <w:r>
              <w:t xml:space="preserve">Fund promissory note ($50K min)</w:t>
            </w:r>
          </w:p>
        </w:tc>
        <w:tc>
          <w:tcPr/>
          <w:p>
            <w:pPr>
              <w:pStyle w:val="Compact"/>
            </w:pPr>
            <w:r>
              <w:t xml:space="preserve">$50,000-$500,000+</w:t>
            </w:r>
          </w:p>
        </w:tc>
      </w:tr>
      <w:tr>
        <w:tc>
          <w:tcPr/>
          <w:p>
            <w:pPr>
              <w:pStyle w:val="Compact"/>
            </w:pPr>
            <w:r>
              <w:t xml:space="preserve">Partner</w:t>
            </w:r>
          </w:p>
        </w:tc>
        <w:tc>
          <w:tcPr/>
          <w:p>
            <w:pPr>
              <w:pStyle w:val="Compact"/>
            </w:pPr>
            <w:r>
              <w:t xml:space="preserve">OEM white-label buyers</w:t>
            </w:r>
          </w:p>
        </w:tc>
        <w:tc>
          <w:tcPr/>
          <w:p>
            <w:pPr>
              <w:pStyle w:val="Compact"/>
            </w:pPr>
            <w:r>
              <w:t xml:space="preserve">Signed partnership agreement</w:t>
            </w:r>
          </w:p>
        </w:tc>
        <w:tc>
          <w:tcPr/>
          <w:p>
            <w:pPr>
              <w:pStyle w:val="Compact"/>
            </w:pPr>
            <w:r>
              <w:t xml:space="preserve">Revenue share / wholesale</w:t>
            </w:r>
          </w:p>
        </w:tc>
      </w:tr>
      <w:tr>
        <w:tc>
          <w:tcPr/>
          <w:p>
            <w:pPr>
              <w:pStyle w:val="Compact"/>
            </w:pPr>
            <w:r>
              <w:t xml:space="preserve">Vendor</w:t>
            </w:r>
          </w:p>
        </w:tc>
        <w:tc>
          <w:tcPr/>
          <w:p>
            <w:pPr>
              <w:pStyle w:val="Compact"/>
            </w:pPr>
            <w:r>
              <w:t xml:space="preserve">Contractors, parts suppliers, service vendors</w:t>
            </w:r>
          </w:p>
        </w:tc>
        <w:tc>
          <w:tcPr/>
          <w:p>
            <w:pPr>
              <w:pStyle w:val="Compact"/>
            </w:pPr>
            <w:r>
              <w:t xml:space="preserve">Active vendor contract</w:t>
            </w:r>
          </w:p>
        </w:tc>
        <w:tc>
          <w:tcPr/>
          <w:p>
            <w:pPr>
              <w:pStyle w:val="Compact"/>
            </w:pPr>
            <w:r>
              <w:t xml:space="preserve">Variable</w:t>
            </w:r>
          </w:p>
        </w:tc>
      </w:tr>
    </w:tbl>
    <w:bookmarkEnd w:id="38"/>
    <w:bookmarkStart w:id="41" w:name="section-5-ghl-account-structure"/>
    <w:p>
      <w:pPr>
        <w:pStyle w:val="Heading1"/>
      </w:pPr>
      <w:r>
        <w:t xml:space="preserve">SECTION 5: GHL ACCOUNT STRUCTURE</w:t>
      </w:r>
    </w:p>
    <w:bookmarkStart w:id="39" w:name="key-urls"/>
    <w:p>
      <w:pPr>
        <w:pStyle w:val="Heading2"/>
      </w:pPr>
      <w:r>
        <w:t xml:space="preserve">Key URLs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Item</w:t>
            </w:r>
          </w:p>
        </w:tc>
        <w:tc>
          <w:tcPr/>
          <w:p>
            <w:pPr>
              <w:pStyle w:val="Compact"/>
            </w:pPr>
            <w:r>
              <w:rPr>
                <w:b/>
                <w:bCs/>
              </w:rPr>
              <w:t xml:space="preserve">URL</w:t>
            </w:r>
          </w:p>
        </w:tc>
      </w:tr>
      <w:tr>
        <w:tc>
          <w:tcPr/>
          <w:p>
            <w:pPr>
              <w:pStyle w:val="Compact"/>
            </w:pPr>
            <w:r>
              <w:t xml:space="preserve">GHL Sub-Account</w:t>
            </w:r>
          </w:p>
        </w:tc>
        <w:tc>
          <w:tcPr/>
          <w:p>
            <w:pPr>
              <w:pStyle w:val="Compact"/>
            </w:pPr>
            <w:r>
              <w:t xml:space="preserve">https://app.gohighlevel.com/v2/location/GtXjla7Ld1dordsTWrVy/</w:t>
            </w:r>
          </w:p>
        </w:tc>
      </w:tr>
      <w:tr>
        <w:tc>
          <w:tcPr/>
          <w:p>
            <w:pPr>
              <w:pStyle w:val="Compact"/>
            </w:pPr>
            <w:r>
              <w:t xml:space="preserve">SMS Opt-In Page</w:t>
            </w:r>
          </w:p>
        </w:tc>
        <w:tc>
          <w:tcPr/>
          <w:p>
            <w:pPr>
              <w:pStyle w:val="Compact"/>
            </w:pPr>
            <w:r>
              <w:t xml:space="preserve">https://go.enyrgy.com/sms-opt-in</w:t>
            </w:r>
          </w:p>
        </w:tc>
      </w:tr>
      <w:tr>
        <w:tc>
          <w:tcPr/>
          <w:p>
            <w:pPr>
              <w:pStyle w:val="Compact"/>
            </w:pPr>
            <w:r>
              <w:t xml:space="preserve">Recovery Landing (NEW)</w:t>
            </w:r>
          </w:p>
        </w:tc>
        <w:tc>
          <w:tcPr/>
          <w:p>
            <w:pPr>
              <w:pStyle w:val="Compact"/>
            </w:pPr>
            <w:r>
              <w:t xml:space="preserve">https://go.enyrgy.com/recovery-protocol</w:t>
            </w:r>
          </w:p>
        </w:tc>
      </w:tr>
      <w:tr>
        <w:tc>
          <w:tcPr/>
          <w:p>
            <w:pPr>
              <w:pStyle w:val="Compact"/>
            </w:pPr>
            <w:r>
              <w:t xml:space="preserve">Synthesis Gap Landing (NEW)</w:t>
            </w:r>
          </w:p>
        </w:tc>
        <w:tc>
          <w:tcPr/>
          <w:p>
            <w:pPr>
              <w:pStyle w:val="Compact"/>
            </w:pPr>
            <w:r>
              <w:t xml:space="preserve">https://go.enyrgy.com/synthesis-gap</w:t>
            </w:r>
          </w:p>
        </w:tc>
      </w:tr>
      <w:tr>
        <w:tc>
          <w:tcPr/>
          <w:p>
            <w:pPr>
              <w:pStyle w:val="Compact"/>
            </w:pPr>
            <w:r>
              <w:t xml:space="preserve">Consumer Inquiry Form</w:t>
            </w:r>
          </w:p>
        </w:tc>
        <w:tc>
          <w:tcPr/>
          <w:p>
            <w:pPr>
              <w:pStyle w:val="Compact"/>
            </w:pPr>
            <w:r>
              <w:t xml:space="preserve">https://api.leadconnectorhq.com/widget/form/dclY1TB3jA3eitWEQaCo</w:t>
            </w:r>
          </w:p>
        </w:tc>
      </w:tr>
      <w:tr>
        <w:tc>
          <w:tcPr/>
          <w:p>
            <w:pPr>
              <w:pStyle w:val="Compact"/>
            </w:pPr>
            <w:r>
              <w:t xml:space="preserve">Accreditation Form</w:t>
            </w:r>
          </w:p>
        </w:tc>
        <w:tc>
          <w:tcPr/>
          <w:p>
            <w:pPr>
              <w:pStyle w:val="Compact"/>
            </w:pPr>
            <w:r>
              <w:t xml:space="preserve">https://api.leadconnectorhq.com/widget/form/DBQBL51stonmfRcUBsMe</w:t>
            </w:r>
          </w:p>
        </w:tc>
      </w:tr>
      <w:tr>
        <w:tc>
          <w:tcPr/>
          <w:p>
            <w:pPr>
              <w:pStyle w:val="Compact"/>
            </w:pPr>
            <w:r>
              <w:t xml:space="preserve">Testimonial Form</w:t>
            </w:r>
          </w:p>
        </w:tc>
        <w:tc>
          <w:tcPr/>
          <w:p>
            <w:pPr>
              <w:pStyle w:val="Compact"/>
            </w:pPr>
            <w:r>
              <w:t xml:space="preserve">https://api.leadconnectorhq.com/widget/form/OjahkWeVDeozQkfG9dW2</w:t>
            </w:r>
          </w:p>
        </w:tc>
      </w:tr>
    </w:tbl>
    <w:bookmarkEnd w:id="39"/>
    <w:bookmarkStart w:id="40" w:name="phone-system"/>
    <w:p>
      <w:pPr>
        <w:pStyle w:val="Heading2"/>
      </w:pPr>
      <w:r>
        <w:t xml:space="preserve">Phone System</w:t>
      </w:r>
    </w:p>
    <w:p>
      <w:pPr>
        <w:numPr>
          <w:ilvl w:val="0"/>
          <w:numId w:val="1004"/>
        </w:numPr>
      </w:pPr>
      <w:r>
        <w:t xml:space="preserve">Number: +1 888-316-1695 (Toll-Free)</w:t>
      </w:r>
    </w:p>
    <w:p>
      <w:pPr>
        <w:numPr>
          <w:ilvl w:val="0"/>
          <w:numId w:val="1004"/>
        </w:numPr>
      </w:pPr>
      <w:r>
        <w:rPr>
          <w:b/>
          <w:bCs/>
        </w:rPr>
        <w:t xml:space="preserve">Two numbers exist on purpose, do not</w:t>
      </w:r>
      <w:r>
        <w:rPr>
          <w:b/>
          <w:bCs/>
        </w:rPr>
        <w:t xml:space="preserve"> </w:t>
      </w:r>
      <w:r>
        <w:rPr>
          <w:b/>
          <w:bCs/>
        </w:rPr>
        <w:t xml:space="preserve">“correct”</w:t>
      </w:r>
      <w:r>
        <w:rPr>
          <w:b/>
          <w:bCs/>
        </w:rPr>
        <w:t xml:space="preserve"> </w:t>
      </w:r>
      <w:r>
        <w:rPr>
          <w:b/>
          <w:bCs/>
        </w:rPr>
        <w:t xml:space="preserve">one to the other.</w:t>
      </w:r>
      <w:r>
        <w:t xml:space="preserve"> </w:t>
      </w:r>
      <w:r>
        <w:t xml:space="preserve">888-316-1695 is the GHL toll-free line, A2P-verified, and is what sends SMS and places outbound calls.</w:t>
      </w:r>
      <w:r>
        <w:t xml:space="preserve"> </w:t>
      </w:r>
      <w:r>
        <w:rPr>
          <w:b/>
          <w:bCs/>
        </w:rPr>
        <w:t xml:space="preserve">602-321-0322 is Scott’s direct number</w:t>
      </w:r>
      <w:r>
        <w:t xml:space="preserve"> </w:t>
      </w:r>
      <w:r>
        <w:t xml:space="preserve">and belongs in email signatures and the team reference, where a human contact is what the reader wants. The cover, Section 7 and the signature block all use 602 deliberately.</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40"/>
    <w:bookmarkEnd w:id="41"/>
    <w:bookmarkStart w:id="42" w:name="section-6-calendar-reference"/>
    <w:p>
      <w:pPr>
        <w:pStyle w:val="Heading1"/>
      </w:pPr>
      <w:r>
        <w:t xml:space="preserve">SECTION 6: CALENDAR REFERENCE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Calendar</w:t>
            </w:r>
          </w:p>
        </w:tc>
        <w:tc>
          <w:tcPr/>
          <w:p>
            <w:pPr>
              <w:pStyle w:val="Compact"/>
            </w:pPr>
            <w:r>
              <w:rPr>
                <w:b/>
                <w:bCs/>
              </w:rPr>
              <w:t xml:space="preserve">Type</w:t>
            </w:r>
          </w:p>
        </w:tc>
        <w:tc>
          <w:tcPr/>
          <w:p>
            <w:pPr>
              <w:pStyle w:val="Compact"/>
            </w:pPr>
            <w:r>
              <w:rPr>
                <w:b/>
                <w:bCs/>
              </w:rPr>
              <w:t xml:space="preserve">Owner</w:t>
            </w:r>
          </w:p>
        </w:tc>
        <w:tc>
          <w:tcPr/>
          <w:p>
            <w:pPr>
              <w:pStyle w:val="Compact"/>
            </w:pPr>
            <w:r>
              <w:rPr>
                <w:b/>
                <w:bCs/>
              </w:rPr>
              <w:t xml:space="preserve">Duration</w:t>
            </w:r>
          </w:p>
        </w:tc>
      </w:tr>
      <w:tr>
        <w:tc>
          <w:tcPr/>
          <w:p>
            <w:pPr>
              <w:pStyle w:val="Compact"/>
            </w:pPr>
            <w:r>
              <w:t xml:space="preserve">Investor Intro Call</w:t>
            </w:r>
          </w:p>
        </w:tc>
        <w:tc>
          <w:tcPr/>
          <w:p>
            <w:pPr>
              <w:pStyle w:val="Compact"/>
            </w:pPr>
            <w:r>
              <w:t xml:space="preserve">Personal</w:t>
            </w:r>
          </w:p>
        </w:tc>
        <w:tc>
          <w:tcPr/>
          <w:p>
            <w:pPr>
              <w:pStyle w:val="Compact"/>
            </w:pPr>
            <w:r>
              <w:t xml:space="preserve">Brian</w:t>
            </w:r>
          </w:p>
        </w:tc>
        <w:tc>
          <w:tcPr/>
          <w:p>
            <w:pPr>
              <w:pStyle w:val="Compact"/>
            </w:pPr>
            <w:r>
              <w:t xml:space="preserve">15 min</w:t>
            </w:r>
          </w:p>
        </w:tc>
      </w:tr>
      <w:tr>
        <w:tc>
          <w:tcPr/>
          <w:p>
            <w:pPr>
              <w:pStyle w:val="Compact"/>
            </w:pPr>
            <w:r>
              <w:t xml:space="preserve">Investor Presentation</w:t>
            </w:r>
          </w:p>
        </w:tc>
        <w:tc>
          <w:tcPr/>
          <w:p>
            <w:pPr>
              <w:pStyle w:val="Compact"/>
            </w:pPr>
            <w:r>
              <w:t xml:space="preserve">Collective</w:t>
            </w:r>
          </w:p>
        </w:tc>
        <w:tc>
          <w:tcPr/>
          <w:p>
            <w:pPr>
              <w:pStyle w:val="Compact"/>
            </w:pPr>
            <w:r>
              <w:t xml:space="preserve">Scott + Brian</w:t>
            </w:r>
          </w:p>
        </w:tc>
        <w:tc>
          <w:tcPr/>
          <w:p>
            <w:pPr>
              <w:pStyle w:val="Compact"/>
            </w:pPr>
            <w:r>
              <w:t xml:space="preserve">30 min</w:t>
            </w:r>
          </w:p>
        </w:tc>
      </w:tr>
      <w:tr>
        <w:tc>
          <w:tcPr/>
          <w:p>
            <w:pPr>
              <w:pStyle w:val="Compact"/>
            </w:pPr>
            <w:r>
              <w:t xml:space="preserve">Consumer Discovery Call</w:t>
            </w:r>
          </w:p>
        </w:tc>
        <w:tc>
          <w:tcPr/>
          <w:p>
            <w:pPr>
              <w:pStyle w:val="Compact"/>
            </w:pPr>
            <w:r>
              <w:t xml:space="preserve">Round Robin</w:t>
            </w:r>
          </w:p>
        </w:tc>
        <w:tc>
          <w:tcPr/>
          <w:p>
            <w:pPr>
              <w:pStyle w:val="Compact"/>
            </w:pPr>
            <w:r>
              <w:t xml:space="preserve">Millie</w:t>
            </w:r>
          </w:p>
        </w:tc>
        <w:tc>
          <w:tcPr/>
          <w:p>
            <w:pPr>
              <w:pStyle w:val="Compact"/>
            </w:pPr>
            <w:r>
              <w:t xml:space="preserve">15 min</w:t>
            </w:r>
          </w:p>
        </w:tc>
      </w:tr>
      <w:tr>
        <w:tc>
          <w:tcPr/>
          <w:p>
            <w:pPr>
              <w:pStyle w:val="Compact"/>
            </w:pPr>
            <w:r>
              <w:t xml:space="preserve">Commercial Discovery</w:t>
            </w:r>
          </w:p>
        </w:tc>
        <w:tc>
          <w:tcPr/>
          <w:p>
            <w:pPr>
              <w:pStyle w:val="Compact"/>
            </w:pPr>
            <w:r>
              <w:t xml:space="preserve">Round Robin</w:t>
            </w:r>
          </w:p>
        </w:tc>
        <w:tc>
          <w:tcPr/>
          <w:p>
            <w:pPr>
              <w:pStyle w:val="Compact"/>
            </w:pPr>
            <w:r>
              <w:t xml:space="preserve">Scott</w:t>
            </w:r>
          </w:p>
        </w:tc>
        <w:tc>
          <w:tcPr/>
          <w:p>
            <w:pPr>
              <w:pStyle w:val="Compact"/>
            </w:pPr>
            <w:r>
              <w:t xml:space="preserve">20 min</w:t>
            </w:r>
          </w:p>
        </w:tc>
      </w:tr>
      <w:tr>
        <w:tc>
          <w:tcPr/>
          <w:p>
            <w:pPr>
              <w:pStyle w:val="Compact"/>
            </w:pPr>
            <w:r>
              <w:t xml:space="preserve">Partner Exploratory Call</w:t>
            </w:r>
          </w:p>
        </w:tc>
        <w:tc>
          <w:tcPr/>
          <w:p>
            <w:pPr>
              <w:pStyle w:val="Compact"/>
            </w:pPr>
            <w:r>
              <w:t xml:space="preserve">Personal</w:t>
            </w:r>
          </w:p>
        </w:tc>
        <w:tc>
          <w:tcPr/>
          <w:p>
            <w:pPr>
              <w:pStyle w:val="Compact"/>
            </w:pPr>
            <w:r>
              <w:t xml:space="preserve">Scott</w:t>
            </w:r>
          </w:p>
        </w:tc>
        <w:tc>
          <w:tcPr/>
          <w:p>
            <w:pPr>
              <w:pStyle w:val="Compact"/>
            </w:pPr>
            <w:r>
              <w:t xml:space="preserve">20 min</w:t>
            </w:r>
          </w:p>
        </w:tc>
      </w:tr>
      <w:tr>
        <w:tc>
          <w:tcPr/>
          <w:p>
            <w:pPr>
              <w:pStyle w:val="Compact"/>
            </w:pPr>
            <w:r>
              <w:t xml:space="preserve">Vendor Meeting</w:t>
            </w:r>
          </w:p>
        </w:tc>
        <w:tc>
          <w:tcPr/>
          <w:p>
            <w:pPr>
              <w:pStyle w:val="Compact"/>
            </w:pPr>
            <w:r>
              <w:t xml:space="preserve">Personal</w:t>
            </w:r>
          </w:p>
        </w:tc>
        <w:tc>
          <w:tcPr/>
          <w:p>
            <w:pPr>
              <w:pStyle w:val="Compact"/>
            </w:pPr>
            <w:r>
              <w:t xml:space="preserve">Scott</w:t>
            </w:r>
          </w:p>
        </w:tc>
        <w:tc>
          <w:tcPr/>
          <w:p>
            <w:pPr>
              <w:pStyle w:val="Compact"/>
            </w:pPr>
            <w:r>
              <w:t xml:space="preserve">20 min</w:t>
            </w:r>
          </w:p>
        </w:tc>
      </w:tr>
    </w:tbl>
    <w:bookmarkEnd w:id="42"/>
    <w:bookmarkStart w:id="44" w:name="section-7-team-reference"/>
    <w:p>
      <w:pPr>
        <w:pStyle w:val="Heading1"/>
      </w:pPr>
      <w:r>
        <w:t xml:space="preserve">SECTION 7: TEAM REFERENCE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Name</w:t>
            </w:r>
          </w:p>
        </w:tc>
        <w:tc>
          <w:tcPr/>
          <w:p>
            <w:pPr>
              <w:pStyle w:val="Compact"/>
            </w:pPr>
            <w:r>
              <w:rPr>
                <w:b/>
                <w:bCs/>
              </w:rPr>
              <w:t xml:space="preserve">Role</w:t>
            </w:r>
          </w:p>
        </w:tc>
        <w:tc>
          <w:tcPr/>
          <w:p>
            <w:pPr>
              <w:pStyle w:val="Compact"/>
            </w:pPr>
            <w:r>
              <w:rPr>
                <w:b/>
                <w:bCs/>
              </w:rPr>
              <w:t xml:space="preserve">Email</w:t>
            </w:r>
          </w:p>
        </w:tc>
        <w:tc>
          <w:tcPr/>
          <w:p>
            <w:pPr>
              <w:pStyle w:val="Compact"/>
            </w:pPr>
            <w:r>
              <w:rPr>
                <w:b/>
                <w:bCs/>
              </w:rPr>
              <w:t xml:space="preserve">Phone</w:t>
            </w:r>
          </w:p>
        </w:tc>
      </w:tr>
      <w:tr>
        <w:tc>
          <w:tcPr/>
          <w:p>
            <w:pPr>
              <w:pStyle w:val="Compact"/>
            </w:pPr>
            <w:r>
              <w:t xml:space="preserve">Scott Hansbury</w:t>
            </w:r>
          </w:p>
        </w:tc>
        <w:tc>
          <w:tcPr/>
          <w:p>
            <w:pPr>
              <w:pStyle w:val="Compact"/>
            </w:pPr>
            <w:r>
              <w:t xml:space="preserve">Co-founder &amp; CEO</w:t>
            </w:r>
          </w:p>
        </w:tc>
        <w:tc>
          <w:tcPr/>
          <w:p>
            <w:pPr>
              <w:pStyle w:val="Compact"/>
            </w:pPr>
            <w:r>
              <w:t xml:space="preserve">scott@enyrgy.com</w:t>
            </w:r>
          </w:p>
        </w:tc>
        <w:tc>
          <w:tcPr/>
          <w:p>
            <w:pPr>
              <w:pStyle w:val="Compact"/>
            </w:pPr>
            <w:r>
              <w:t xml:space="preserve">602-321-0322</w:t>
            </w:r>
          </w:p>
        </w:tc>
      </w:tr>
      <w:tr>
        <w:tc>
          <w:tcPr/>
          <w:p>
            <w:pPr>
              <w:pStyle w:val="Compact"/>
            </w:pPr>
            <w:r>
              <w:t xml:space="preserve">David Letourneau</w:t>
            </w:r>
          </w:p>
        </w:tc>
        <w:tc>
          <w:tcPr/>
          <w:p>
            <w:pPr>
              <w:pStyle w:val="Compact"/>
            </w:pPr>
            <w:r>
              <w:t xml:space="preserve">EVP Operations &amp; Co-Founder</w:t>
            </w:r>
          </w:p>
        </w:tc>
        <w:tc>
          <w:tcPr/>
          <w:p>
            <w:pPr>
              <w:pStyle w:val="Compact"/>
            </w:pPr>
            <w:r>
              <w:t xml:space="preserve">david@enyrgy.com</w:t>
            </w:r>
          </w:p>
        </w:tc>
        <w:tc>
          <w:tcPr/>
          <w:p>
            <w:pPr>
              <w:pStyle w:val="Compact"/>
            </w:pPr>
            <w:r>
              <w:t xml:space="preserve">602-625-6607</w:t>
            </w:r>
          </w:p>
        </w:tc>
      </w:tr>
      <w:tr>
        <w:tc>
          <w:tcPr/>
          <w:p>
            <w:pPr>
              <w:pStyle w:val="Compact"/>
            </w:pPr>
            <w:r>
              <w:t xml:space="preserve">Brian Cameron</w:t>
            </w:r>
          </w:p>
        </w:tc>
        <w:tc>
          <w:tcPr/>
          <w:p>
            <w:pPr>
              <w:pStyle w:val="Compact"/>
            </w:pPr>
            <w:r>
              <w:t xml:space="preserve">CFO</w:t>
            </w:r>
          </w:p>
        </w:tc>
        <w:tc>
          <w:tcPr/>
          <w:p>
            <w:pPr>
              <w:pStyle w:val="Compact"/>
            </w:pPr>
            <w:r>
              <w:t xml:space="preserve">bcameron@brian-cameron.com</w:t>
            </w:r>
          </w:p>
        </w:tc>
        <w:tc>
          <w:tcPr/>
          <w:p>
            <w:pPr>
              <w:pStyle w:val="Compact"/>
            </w:pPr>
            <w:r>
              <w:t xml:space="preserve">602-865-9356</w:t>
            </w:r>
          </w:p>
        </w:tc>
      </w:tr>
      <w:tr>
        <w:tc>
          <w:tcPr/>
          <w:p>
            <w:pPr>
              <w:pStyle w:val="Compact"/>
            </w:pPr>
            <w:r>
              <w:t xml:space="preserve">Dennis Lan</w:t>
            </w:r>
          </w:p>
        </w:tc>
        <w:tc>
          <w:tcPr/>
          <w:p>
            <w:pPr>
              <w:pStyle w:val="Compact"/>
            </w:pPr>
            <w:r>
              <w:t xml:space="preserve">Director, Supply Chain</w:t>
            </w:r>
          </w:p>
        </w:tc>
        <w:tc>
          <w:tcPr/>
          <w:p>
            <w:pPr>
              <w:pStyle w:val="Compact"/>
            </w:pPr>
          </w:p>
        </w:tc>
        <w:tc>
          <w:tcPr/>
          <w:p>
            <w:pPr>
              <w:pStyle w:val="Compact"/>
            </w:pPr>
          </w:p>
        </w:tc>
      </w:tr>
      <w:tr>
        <w:tc>
          <w:tcPr/>
          <w:p>
            <w:pPr>
              <w:pStyle w:val="Compact"/>
            </w:pPr>
            <w:r>
              <w:t xml:space="preserve">Dario Pompeii</w:t>
            </w:r>
          </w:p>
        </w:tc>
        <w:tc>
          <w:tcPr/>
          <w:p>
            <w:pPr>
              <w:pStyle w:val="Compact"/>
            </w:pPr>
            <w:r>
              <w:t xml:space="preserve">Senior Engineer</w:t>
            </w:r>
          </w:p>
        </w:tc>
        <w:tc>
          <w:tcPr/>
          <w:p>
            <w:pPr>
              <w:pStyle w:val="Compact"/>
            </w:pPr>
          </w:p>
        </w:tc>
        <w:tc>
          <w:tcPr/>
          <w:p>
            <w:pPr>
              <w:pStyle w:val="Compact"/>
            </w:pPr>
          </w:p>
        </w:tc>
      </w:tr>
      <w:tr>
        <w:tc>
          <w:tcPr/>
          <w:p>
            <w:pPr>
              <w:pStyle w:val="Compact"/>
            </w:pPr>
            <w:r>
              <w:t xml:space="preserve">Millie Carrillo</w:t>
            </w:r>
          </w:p>
        </w:tc>
        <w:tc>
          <w:tcPr/>
          <w:p>
            <w:pPr>
              <w:pStyle w:val="Compact"/>
            </w:pPr>
            <w:r>
              <w:t xml:space="preserve">Affiliate Manager</w:t>
            </w:r>
          </w:p>
        </w:tc>
        <w:tc>
          <w:tcPr/>
          <w:p>
            <w:pPr>
              <w:pStyle w:val="Compact"/>
            </w:pPr>
          </w:p>
        </w:tc>
        <w:tc>
          <w:tcPr/>
          <w:p>
            <w:pPr>
              <w:pStyle w:val="Compact"/>
            </w:pPr>
          </w:p>
        </w:tc>
      </w:tr>
      <w:tr>
        <w:tc>
          <w:tcPr/>
          <w:p>
            <w:pPr>
              <w:pStyle w:val="Compact"/>
            </w:pPr>
            <w:r>
              <w:t xml:space="preserve">Thea Cartier</w:t>
            </w:r>
          </w:p>
        </w:tc>
        <w:tc>
          <w:tcPr/>
          <w:p>
            <w:pPr>
              <w:pStyle w:val="Compact"/>
            </w:pPr>
            <w:r>
              <w:t xml:space="preserve">Social Media Manager</w:t>
            </w:r>
          </w:p>
        </w:tc>
        <w:tc>
          <w:tcPr/>
          <w:p>
            <w:pPr>
              <w:pStyle w:val="Compact"/>
            </w:pPr>
          </w:p>
        </w:tc>
        <w:tc>
          <w:tcPr/>
          <w:p>
            <w:pPr>
              <w:pStyle w:val="Compact"/>
            </w:pPr>
          </w:p>
        </w:tc>
      </w:tr>
    </w:tbl>
    <w:bookmarkStart w:id="43" w:name="funnel-ownership"/>
    <w:p>
      <w:pPr>
        <w:pStyle w:val="Heading2"/>
      </w:pPr>
      <w:r>
        <w:t xml:space="preserve">Funnel Ownership</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Funnel</w:t>
            </w:r>
          </w:p>
        </w:tc>
        <w:tc>
          <w:tcPr/>
          <w:p>
            <w:pPr>
              <w:pStyle w:val="Compact"/>
            </w:pPr>
            <w:r>
              <w:rPr>
                <w:b/>
                <w:bCs/>
              </w:rPr>
              <w:t xml:space="preserve">Primary</w:t>
            </w:r>
          </w:p>
        </w:tc>
        <w:tc>
          <w:tcPr/>
          <w:p>
            <w:pPr>
              <w:pStyle w:val="Compact"/>
            </w:pPr>
            <w:r>
              <w:rPr>
                <w:b/>
                <w:bCs/>
              </w:rPr>
              <w:t xml:space="preserve">Backup</w:t>
            </w:r>
          </w:p>
        </w:tc>
      </w:tr>
      <w:tr>
        <w:tc>
          <w:tcPr/>
          <w:p>
            <w:pPr>
              <w:pStyle w:val="Compact"/>
            </w:pPr>
            <w:r>
              <w:t xml:space="preserve">Consumer</w:t>
            </w:r>
          </w:p>
        </w:tc>
        <w:tc>
          <w:tcPr/>
          <w:p>
            <w:pPr>
              <w:pStyle w:val="Compact"/>
            </w:pPr>
            <w:r>
              <w:t xml:space="preserve">Millie</w:t>
            </w:r>
          </w:p>
        </w:tc>
        <w:tc>
          <w:tcPr/>
          <w:p>
            <w:pPr>
              <w:pStyle w:val="Compact"/>
            </w:pPr>
            <w:r>
              <w:t xml:space="preserve">Scott</w:t>
            </w:r>
          </w:p>
        </w:tc>
      </w:tr>
      <w:tr>
        <w:tc>
          <w:tcPr/>
          <w:p>
            <w:pPr>
              <w:pStyle w:val="Compact"/>
            </w:pPr>
            <w:r>
              <w:t xml:space="preserve">Commercial</w:t>
            </w:r>
          </w:p>
        </w:tc>
        <w:tc>
          <w:tcPr/>
          <w:p>
            <w:pPr>
              <w:pStyle w:val="Compact"/>
            </w:pPr>
            <w:r>
              <w:t xml:space="preserve">Scott</w:t>
            </w:r>
          </w:p>
        </w:tc>
        <w:tc>
          <w:tcPr/>
          <w:p>
            <w:pPr>
              <w:pStyle w:val="Compact"/>
            </w:pPr>
            <w:r>
              <w:t xml:space="preserve">Brian</w:t>
            </w:r>
          </w:p>
        </w:tc>
      </w:tr>
      <w:tr>
        <w:tc>
          <w:tcPr/>
          <w:p>
            <w:pPr>
              <w:pStyle w:val="Compact"/>
            </w:pPr>
            <w:r>
              <w:t xml:space="preserve">Investor (Intro)</w:t>
            </w:r>
          </w:p>
        </w:tc>
        <w:tc>
          <w:tcPr/>
          <w:p>
            <w:pPr>
              <w:pStyle w:val="Compact"/>
            </w:pPr>
            <w:r>
              <w:t xml:space="preserve">Brian</w:t>
            </w:r>
          </w:p>
        </w:tc>
        <w:tc>
          <w:tcPr/>
          <w:p>
            <w:pPr>
              <w:pStyle w:val="Compact"/>
            </w:pPr>
            <w:r>
              <w:t xml:space="preserve">Scott</w:t>
            </w:r>
          </w:p>
        </w:tc>
      </w:tr>
      <w:tr>
        <w:tc>
          <w:tcPr/>
          <w:p>
            <w:pPr>
              <w:pStyle w:val="Compact"/>
            </w:pPr>
            <w:r>
              <w:t xml:space="preserve">Investor (Presentation/Close)</w:t>
            </w:r>
          </w:p>
        </w:tc>
        <w:tc>
          <w:tcPr/>
          <w:p>
            <w:pPr>
              <w:pStyle w:val="Compact"/>
            </w:pPr>
            <w:r>
              <w:t xml:space="preserve">Scott</w:t>
            </w:r>
          </w:p>
        </w:tc>
        <w:tc>
          <w:tcPr/>
          <w:p>
            <w:pPr>
              <w:pStyle w:val="Compact"/>
            </w:pPr>
            <w:r>
              <w:t xml:space="preserve">Brian</w:t>
            </w:r>
          </w:p>
        </w:tc>
      </w:tr>
      <w:tr>
        <w:tc>
          <w:tcPr/>
          <w:p>
            <w:pPr>
              <w:pStyle w:val="Compact"/>
            </w:pPr>
            <w:r>
              <w:t xml:space="preserve">Partner</w:t>
            </w:r>
          </w:p>
        </w:tc>
        <w:tc>
          <w:tcPr/>
          <w:p>
            <w:pPr>
              <w:pStyle w:val="Compact"/>
            </w:pPr>
            <w:r>
              <w:t xml:space="preserve">Scott</w:t>
            </w:r>
          </w:p>
        </w:tc>
        <w:tc>
          <w:tcPr/>
          <w:p>
            <w:pPr>
              <w:pStyle w:val="Compact"/>
            </w:pPr>
            <w:r>
              <w:t xml:space="preserve">—</w:t>
            </w:r>
          </w:p>
        </w:tc>
      </w:tr>
      <w:tr>
        <w:tc>
          <w:tcPr/>
          <w:p>
            <w:pPr>
              <w:pStyle w:val="Compact"/>
            </w:pPr>
            <w:r>
              <w:t xml:space="preserve">Vendor</w:t>
            </w:r>
          </w:p>
        </w:tc>
        <w:tc>
          <w:tcPr/>
          <w:p>
            <w:pPr>
              <w:pStyle w:val="Compact"/>
            </w:pPr>
            <w:r>
              <w:t xml:space="preserve">Scott</w:t>
            </w:r>
          </w:p>
        </w:tc>
        <w:tc>
          <w:tcPr/>
          <w:p>
            <w:pPr>
              <w:pStyle w:val="Compact"/>
            </w:pPr>
            <w:r>
              <w:t xml:space="preserve">—</w:t>
            </w:r>
          </w:p>
        </w:tc>
      </w:tr>
      <w:tr>
        <w:tc>
          <w:tcPr/>
          <w:p>
            <w:pPr>
              <w:pStyle w:val="Compact"/>
            </w:pPr>
            <w:r>
              <w:t xml:space="preserve">Onboarding</w:t>
            </w:r>
          </w:p>
        </w:tc>
        <w:tc>
          <w:tcPr/>
          <w:p>
            <w:pPr>
              <w:pStyle w:val="Compact"/>
            </w:pPr>
            <w:r>
              <w:t xml:space="preserve">Scott</w:t>
            </w:r>
          </w:p>
        </w:tc>
        <w:tc>
          <w:tcPr/>
          <w:p>
            <w:pPr>
              <w:pStyle w:val="Compact"/>
            </w:pPr>
            <w:r>
              <w:t xml:space="preserve">—</w:t>
            </w:r>
          </w:p>
        </w:tc>
      </w:tr>
    </w:tbl>
    <w:bookmarkEnd w:id="43"/>
    <w:bookmarkEnd w:id="44"/>
    <w:bookmarkStart w:id="52" w:name="section-8-ghl-contact-fields"/>
    <w:p>
      <w:pPr>
        <w:pStyle w:val="Heading1"/>
      </w:pPr>
      <w:r>
        <w:t xml:space="preserve">SECTION 8: GHL CONTACT FIELDS</w:t>
      </w:r>
    </w:p>
    <w:bookmarkStart w:id="45" w:name="folder-structure"/>
    <w:p>
      <w:pPr>
        <w:pStyle w:val="Heading2"/>
      </w:pPr>
      <w:r>
        <w:t xml:space="preserve">Folder Structure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Folder</w:t>
            </w:r>
          </w:p>
        </w:tc>
        <w:tc>
          <w:tcPr/>
          <w:p>
            <w:pPr>
              <w:pStyle w:val="Compact"/>
            </w:pPr>
            <w:r>
              <w:rPr>
                <w:b/>
                <w:bCs/>
              </w:rPr>
              <w:t xml:space="preserve">Fields</w:t>
            </w:r>
          </w:p>
        </w:tc>
      </w:tr>
      <w:tr>
        <w:tc>
          <w:tcPr/>
          <w:p>
            <w:pPr>
              <w:pStyle w:val="Compact"/>
            </w:pPr>
            <w:r>
              <w:t xml:space="preserve">Universal</w:t>
            </w:r>
          </w:p>
        </w:tc>
        <w:tc>
          <w:tcPr/>
          <w:p>
            <w:pPr>
              <w:pStyle w:val="Compact"/>
            </w:pPr>
            <w:r>
              <w:t xml:space="preserve">10 fields</w:t>
            </w:r>
          </w:p>
        </w:tc>
      </w:tr>
      <w:tr>
        <w:tc>
          <w:tcPr/>
          <w:p>
            <w:pPr>
              <w:pStyle w:val="Compact"/>
            </w:pPr>
            <w:r>
              <w:t xml:space="preserve">Consumer</w:t>
            </w:r>
          </w:p>
        </w:tc>
        <w:tc>
          <w:tcPr/>
          <w:p>
            <w:pPr>
              <w:pStyle w:val="Compact"/>
            </w:pPr>
            <w:r>
              <w:t xml:space="preserve">14 fields (incl. testimonial fields)</w:t>
            </w:r>
          </w:p>
        </w:tc>
      </w:tr>
      <w:tr>
        <w:tc>
          <w:tcPr/>
          <w:p>
            <w:pPr>
              <w:pStyle w:val="Compact"/>
            </w:pPr>
            <w:r>
              <w:t xml:space="preserve">Commercial</w:t>
            </w:r>
          </w:p>
        </w:tc>
        <w:tc>
          <w:tcPr/>
          <w:p>
            <w:pPr>
              <w:pStyle w:val="Compact"/>
            </w:pPr>
            <w:r>
              <w:t xml:space="preserve">8 fields</w:t>
            </w:r>
          </w:p>
        </w:tc>
      </w:tr>
      <w:tr>
        <w:tc>
          <w:tcPr/>
          <w:p>
            <w:pPr>
              <w:pStyle w:val="Compact"/>
            </w:pPr>
            <w:r>
              <w:t xml:space="preserve">Investor</w:t>
            </w:r>
          </w:p>
        </w:tc>
        <w:tc>
          <w:tcPr/>
          <w:p>
            <w:pPr>
              <w:pStyle w:val="Compact"/>
            </w:pPr>
            <w:r>
              <w:t xml:space="preserve">9 fields</w:t>
            </w:r>
          </w:p>
        </w:tc>
      </w:tr>
      <w:tr>
        <w:tc>
          <w:tcPr/>
          <w:p>
            <w:pPr>
              <w:pStyle w:val="Compact"/>
            </w:pPr>
            <w:r>
              <w:t xml:space="preserve">Partner</w:t>
            </w:r>
          </w:p>
        </w:tc>
        <w:tc>
          <w:tcPr/>
          <w:p>
            <w:pPr>
              <w:pStyle w:val="Compact"/>
            </w:pPr>
            <w:r>
              <w:t xml:space="preserve">8 fields</w:t>
            </w:r>
          </w:p>
        </w:tc>
      </w:tr>
      <w:tr>
        <w:tc>
          <w:tcPr/>
          <w:p>
            <w:pPr>
              <w:pStyle w:val="Compact"/>
            </w:pPr>
            <w:r>
              <w:t xml:space="preserve">Vendor</w:t>
            </w:r>
          </w:p>
        </w:tc>
        <w:tc>
          <w:tcPr/>
          <w:p>
            <w:pPr>
              <w:pStyle w:val="Compact"/>
            </w:pPr>
            <w:r>
              <w:t xml:space="preserve">7 fields</w:t>
            </w:r>
          </w:p>
        </w:tc>
      </w:tr>
    </w:tbl>
    <w:bookmarkEnd w:id="45"/>
    <w:bookmarkStart w:id="4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46"/>
    <w:bookmarkStart w:id="4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47"/>
    <w:bookmarkStart w:id="4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48"/>
    <w:bookmarkStart w:id="4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49"/>
    <w:bookmarkStart w:id="5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50"/>
    <w:bookmarkStart w:id="5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51"/>
    <w:bookmarkEnd w:id="52"/>
    <w:bookmarkStart w:id="5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53"/>
    <w:bookmarkStart w:id="54" w:name="section-10-pipelines"/>
    <w:p>
      <w:pPr>
        <w:pStyle w:val="Heading1"/>
      </w:pPr>
      <w:r>
        <w:t xml:space="preserve">SECTION 10: PIPELINES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Pipeline</w:t>
            </w:r>
          </w:p>
        </w:tc>
        <w:tc>
          <w:tcPr/>
          <w:p>
            <w:pPr>
              <w:pStyle w:val="Compact"/>
            </w:pPr>
            <w:r>
              <w:rPr>
                <w:b/>
                <w:bCs/>
              </w:rPr>
              <w:t xml:space="preserve">Stages</w:t>
            </w:r>
          </w:p>
        </w:tc>
      </w:tr>
      <w:tr>
        <w:tc>
          <w:tcPr/>
          <w:p>
            <w:pPr>
              <w:pStyle w:val="Compact"/>
            </w:pPr>
            <w:r>
              <w:t xml:space="preserve">1 Consumer ($2,995)</w:t>
            </w:r>
          </w:p>
        </w:tc>
        <w:tc>
          <w:tcPr/>
          <w:p>
            <w:pPr>
              <w:pStyle w:val="Compact"/>
            </w:pPr>
            <w:r>
              <w:t xml:space="preserve">New Lead -&gt; Website Visit -&gt; Drip Active -&gt; Discovery Call -&gt; Demo Education -&gt; Order Financing -&gt; Ordered -&gt; Unit Shipped -&gt; User Activated -&gt; Active Customer</w:t>
            </w:r>
          </w:p>
        </w:tc>
      </w:tr>
      <w:tr>
        <w:tc>
          <w:tcPr/>
          <w:p>
            <w:pPr>
              <w:pStyle w:val="Compact"/>
            </w:pPr>
            <w:r>
              <w:t xml:space="preserve">2 Commercial B2B Pipeline</w:t>
            </w:r>
          </w:p>
        </w:tc>
        <w:tc>
          <w:tcPr/>
          <w:p>
            <w:pPr>
              <w:pStyle w:val="Compact"/>
            </w:pPr>
            <w:r>
              <w:t xml:space="preserve">Registration Submitted -&gt; Conflict Check -&gt; Prospect -&gt; Drip Active -&gt; Discovery -&gt; Proposal -&gt; Negotiation -&gt; Contract Signed -&gt; Unit Shipped -&gt; User Activated -&gt; Installation -&gt; Training Scheduled -&gt; Training Complete -&gt; Active Customer</w:t>
            </w:r>
          </w:p>
        </w:tc>
      </w:tr>
      <w:tr>
        <w:tc>
          <w:tcPr/>
          <w:p>
            <w:pPr>
              <w:pStyle w:val="Compact"/>
            </w:pPr>
            <w:r>
              <w:t xml:space="preserve">3 Investor ($3.5M Raise)</w:t>
            </w:r>
          </w:p>
        </w:tc>
        <w:tc>
          <w:tcPr/>
          <w:p>
            <w:pPr>
              <w:pStyle w:val="Compact"/>
            </w:pPr>
            <w:r>
              <w:t xml:space="preserve">Identified -&gt; Drip Active -&gt; Intro Meeting -&gt; Accreditation -&gt; Due Diligence -&gt; Commitment -&gt; Legal and Close -&gt; Active Investor</w:t>
            </w:r>
          </w:p>
        </w:tc>
      </w:tr>
      <w:tr>
        <w:tc>
          <w:tcPr/>
          <w:p>
            <w:pPr>
              <w:pStyle w:val="Compact"/>
            </w:pPr>
            <w:r>
              <w:t xml:space="preserve">4 Partner</w:t>
            </w:r>
          </w:p>
        </w:tc>
        <w:tc>
          <w:tcPr/>
          <w:p>
            <w:pPr>
              <w:pStyle w:val="Compact"/>
            </w:pPr>
            <w:r>
              <w:t xml:space="preserve">Identified -&gt; Drip Active -&gt; Exploratory -&gt; NDA Discovery -&gt; LOI Stage -&gt; Vetting -&gt; Contract -&gt; Active Partner</w:t>
            </w:r>
          </w:p>
        </w:tc>
      </w:tr>
      <w:tr>
        <w:tc>
          <w:tcPr/>
          <w:p>
            <w:pPr>
              <w:pStyle w:val="Compact"/>
            </w:pPr>
            <w:r>
              <w:t xml:space="preserve">5 Vendor</w:t>
            </w:r>
          </w:p>
        </w:tc>
        <w:tc>
          <w:tcPr/>
          <w:p>
            <w:pPr>
              <w:pStyle w:val="Compact"/>
            </w:pPr>
            <w:r>
              <w:t xml:space="preserve">Prospect -&gt; Vetting -&gt; Contract Sent -&gt; Contract Signed -&gt; Active -&gt; Preferred -&gt; Inactive</w:t>
            </w:r>
          </w:p>
        </w:tc>
      </w:tr>
    </w:tbl>
    <w:p>
      <w:pPr>
        <w:pStyle w:val="BodyText"/>
      </w:pPr>
      <w:r>
        <w:rPr>
          <w:b/>
          <w:bCs/>
        </w:rPr>
        <w:t xml:space="preserve">Stage probability is set deliberately, not by the default ladder.</w:t>
      </w:r>
      <w:r>
        <w:t xml:space="preserve"> </w:t>
      </w:r>
      <w:r>
        <w:t xml:space="preserve">GoHighLevel assigns probability by stage position when a pipeline is built, which spreads stages evenly from 0 to 100 and produces nonsense at both ends. Both revenue pipelines were corrected on 2026-08-18.</w:t>
      </w:r>
    </w:p>
    <w:p>
      <w:pPr>
        <w:pStyle w:val="BodyText"/>
      </w:pPr>
      <w:r>
        <w:t xml:space="preserve">The rule: probability is the chance of</w:t>
      </w:r>
      <w:r>
        <w:t xml:space="preserve"> </w:t>
      </w:r>
      <w:r>
        <w:rPr>
          <w:i/>
          <w:iCs/>
        </w:rPr>
        <w:t xml:space="preserve">winning</w:t>
      </w:r>
      <w:r>
        <w:t xml:space="preserve">, so it climbs through the sales stages and hits 100 at the point money is committed. Everything after that point is fulfillment, not forecast, and stays at 100.</w:t>
      </w:r>
    </w:p>
    <w:p>
      <w:pPr>
        <w:pStyle w:val="Compact"/>
        <w:numPr>
          <w:ilvl w:val="0"/>
          <w:numId w:val="1006"/>
        </w:numPr>
      </w:pPr>
      <w:r>
        <w:rPr>
          <w:b/>
          <w:bCs/>
        </w:rPr>
        <w:t xml:space="preserve">Commercial B2B:</w:t>
      </w:r>
      <w:r>
        <w:t xml:space="preserve"> </w:t>
      </w:r>
      <w:r>
        <w:t xml:space="preserve">Registration Submitted 0, Conflict Check 0, Prospect 5, Drip Active 10, Discovery 25, Proposal 50, Negotiation 75, then</w:t>
      </w:r>
      <w:r>
        <w:t xml:space="preserve"> </w:t>
      </w:r>
      <w:r>
        <w:rPr>
          <w:b/>
          <w:bCs/>
        </w:rPr>
        <w:t xml:space="preserve">Contract Signed 100</w:t>
      </w:r>
      <w:r>
        <w:t xml:space="preserve"> </w:t>
      </w:r>
      <w:r>
        <w:t xml:space="preserve">and every stage after it 100.</w:t>
      </w:r>
    </w:p>
    <w:p>
      <w:pPr>
        <w:pStyle w:val="Compact"/>
        <w:numPr>
          <w:ilvl w:val="0"/>
          <w:numId w:val="1006"/>
        </w:numPr>
      </w:pPr>
      <w:r>
        <w:rPr>
          <w:b/>
          <w:bCs/>
        </w:rPr>
        <w:t xml:space="preserve">Consumer:</w:t>
      </w:r>
      <w:r>
        <w:t xml:space="preserve"> </w:t>
      </w:r>
      <w:r>
        <w:t xml:space="preserve">New Lead 5, Website Visit 10, Drip Active 15, Discovery Call 30, Demo Education 45, Order Financing 70, then</w:t>
      </w:r>
      <w:r>
        <w:t xml:space="preserve"> </w:t>
      </w:r>
      <w:r>
        <w:rPr>
          <w:b/>
          <w:bCs/>
        </w:rPr>
        <w:t xml:space="preserve">Ordered 100</w:t>
      </w:r>
      <w:r>
        <w:t xml:space="preserve"> </w:t>
      </w:r>
      <w:r>
        <w:t xml:space="preserve">and every stage after it 100.</w:t>
      </w:r>
    </w:p>
    <w:p>
      <w:pPr>
        <w:pStyle w:val="FirstParagraph"/>
      </w:pPr>
      <w:r>
        <w:t xml:space="preserve">Registration Submitted and Conflict Check are also excluded from the funnel and pie charts. A dealer submission that has not cleared the conflict check is not a deal, and counting it distorts every conversion rate downstream.</w:t>
      </w:r>
    </w:p>
    <w:p>
      <w:pPr>
        <w:pStyle w:val="BodyText"/>
      </w:pPr>
      <w:r>
        <w:t xml:space="preserve">Stage and status are separate fields. A deal at Contract Signed still sits in the forecast until its</w:t>
      </w:r>
      <w:r>
        <w:t xml:space="preserve"> </w:t>
      </w:r>
      <w:r>
        <w:rPr>
          <w:b/>
          <w:bCs/>
        </w:rPr>
        <w:t xml:space="preserve">Status</w:t>
      </w:r>
      <w:r>
        <w:t xml:space="preserve"> </w:t>
      </w:r>
      <w:r>
        <w:t xml:space="preserve">flips to Won, so the close workflow sets both.</w:t>
      </w:r>
    </w:p>
    <w:bookmarkEnd w:id="54"/>
    <w:bookmarkStart w:id="60" w:name="section-11-drip-campaigns"/>
    <w:p>
      <w:pPr>
        <w:pStyle w:val="Heading1"/>
      </w:pPr>
      <w:r>
        <w:t xml:space="preserve">SECTION 11: DRIP CAMPAIGNS</w:t>
      </w:r>
    </w:p>
    <w:bookmarkStart w:id="55" w:name="campaign-overview"/>
    <w:p>
      <w:pPr>
        <w:pStyle w:val="Heading2"/>
      </w:pPr>
      <w:r>
        <w:t xml:space="preserve">Campaign Overview</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Campaign</w:t>
            </w:r>
          </w:p>
        </w:tc>
        <w:tc>
          <w:tcPr/>
          <w:p>
            <w:pPr>
              <w:pStyle w:val="Compact"/>
            </w:pPr>
            <w:r>
              <w:rPr>
                <w:b/>
                <w:bCs/>
              </w:rPr>
              <w:t xml:space="preserve">Touches</w:t>
            </w:r>
          </w:p>
        </w:tc>
        <w:tc>
          <w:tcPr/>
          <w:p>
            <w:pPr>
              <w:pStyle w:val="Compact"/>
            </w:pPr>
            <w:r>
              <w:rPr>
                <w:b/>
                <w:bCs/>
              </w:rPr>
              <w:t xml:space="preserve">Duration</w:t>
            </w:r>
          </w:p>
        </w:tc>
        <w:tc>
          <w:tcPr/>
          <w:p>
            <w:pPr>
              <w:pStyle w:val="Compact"/>
            </w:pPr>
            <w:r>
              <w:rPr>
                <w:b/>
                <w:bCs/>
              </w:rPr>
              <w:t xml:space="preserve">Trigger Tag</w:t>
            </w:r>
          </w:p>
        </w:tc>
        <w:tc>
          <w:tcPr/>
          <w:p>
            <w:pPr>
              <w:pStyle w:val="Compact"/>
            </w:pPr>
            <w:r>
              <w:rPr>
                <w:b/>
                <w:bCs/>
              </w:rPr>
              <w:t xml:space="preserve">Status</w:t>
            </w:r>
          </w:p>
        </w:tc>
      </w:tr>
      <w:tr>
        <w:tc>
          <w:tcPr/>
          <w:p>
            <w:pPr>
              <w:pStyle w:val="Compact"/>
            </w:pPr>
            <w:r>
              <w:t xml:space="preserve">Investor Drip, Cold</w:t>
            </w:r>
          </w:p>
        </w:tc>
        <w:tc>
          <w:tcPr/>
          <w:p>
            <w:pPr>
              <w:pStyle w:val="Compact"/>
            </w:pPr>
            <w:r>
              <w:t xml:space="preserve">7 30 days</w:t>
            </w:r>
          </w:p>
        </w:tc>
        <w:tc>
          <w:tcPr/>
          <w:p>
            <w:pPr>
              <w:pStyle w:val="Compact"/>
            </w:pPr>
          </w:p>
        </w:tc>
        <w:tc>
          <w:tcPr/>
          <w:p>
            <w:pPr>
              <w:pStyle w:val="Compact"/>
            </w:pPr>
            <w:r>
              <w:t xml:space="preserve">type_investor</w:t>
            </w:r>
          </w:p>
        </w:tc>
        <w:tc>
          <w:tcPr/>
          <w:p>
            <w:pPr>
              <w:pStyle w:val="Compact"/>
            </w:pPr>
            <w:r>
              <w:t xml:space="preserve">Published</w:t>
            </w:r>
          </w:p>
        </w:tc>
      </w:tr>
      <w:tr>
        <w:tc>
          <w:tcPr/>
          <w:p>
            <w:pPr>
              <w:pStyle w:val="Compact"/>
            </w:pPr>
            <w:r>
              <w:t xml:space="preserve">Investor Warm Sequence</w:t>
            </w:r>
          </w:p>
        </w:tc>
        <w:tc>
          <w:tcPr/>
          <w:p>
            <w:pPr>
              <w:pStyle w:val="Compact"/>
            </w:pPr>
            <w:r>
              <w:t xml:space="preserve">3 7 days</w:t>
            </w:r>
          </w:p>
        </w:tc>
        <w:tc>
          <w:tcPr/>
          <w:p>
            <w:pPr>
              <w:pStyle w:val="Compact"/>
            </w:pPr>
          </w:p>
        </w:tc>
        <w:tc>
          <w:tcPr/>
          <w:p>
            <w:pPr>
              <w:pStyle w:val="Compact"/>
            </w:pPr>
            <w:r>
              <w:t xml:space="preserve">investor_warm</w:t>
            </w:r>
          </w:p>
        </w:tc>
        <w:tc>
          <w:tcPr/>
          <w:p>
            <w:pPr>
              <w:pStyle w:val="Compact"/>
            </w:pPr>
            <w:r>
              <w:t xml:space="preserve">Published</w:t>
            </w:r>
          </w:p>
        </w:tc>
      </w:tr>
      <w:tr>
        <w:tc>
          <w:tcPr/>
          <w:p>
            <w:pPr>
              <w:pStyle w:val="Compact"/>
            </w:pPr>
            <w:r>
              <w:t xml:space="preserve">Consumer Drip</w:t>
            </w:r>
          </w:p>
        </w:tc>
        <w:tc>
          <w:tcPr/>
          <w:p>
            <w:pPr>
              <w:pStyle w:val="Compact"/>
            </w:pPr>
            <w:r>
              <w:t xml:space="preserve">12</w:t>
            </w:r>
          </w:p>
        </w:tc>
        <w:tc>
          <w:tcPr/>
          <w:p>
            <w:pPr>
              <w:pStyle w:val="Compact"/>
            </w:pPr>
            <w:r>
              <w:t xml:space="preserve">21 days</w:t>
            </w:r>
          </w:p>
        </w:tc>
        <w:tc>
          <w:tcPr/>
          <w:p>
            <w:pPr>
              <w:pStyle w:val="Compact"/>
            </w:pPr>
            <w:r>
              <w:t xml:space="preserve">type_consumer</w:t>
            </w:r>
          </w:p>
        </w:tc>
        <w:tc>
          <w:tcPr/>
          <w:p>
            <w:pPr>
              <w:pStyle w:val="Compact"/>
            </w:pPr>
            <w:r>
              <w:t xml:space="preserve">Published (now gated, see below)</w:t>
            </w:r>
          </w:p>
        </w:tc>
      </w:tr>
      <w:tr>
        <w:tc>
          <w:tcPr/>
          <w:p>
            <w:pPr>
              <w:pStyle w:val="Compact"/>
            </w:pPr>
            <w:r>
              <w:t xml:space="preserve">Commercial Drip</w:t>
            </w:r>
          </w:p>
        </w:tc>
        <w:tc>
          <w:tcPr/>
          <w:p>
            <w:pPr>
              <w:pStyle w:val="Compact"/>
            </w:pPr>
            <w:r>
              <w:t xml:space="preserve">10</w:t>
            </w:r>
          </w:p>
        </w:tc>
        <w:tc>
          <w:tcPr/>
          <w:p>
            <w:pPr>
              <w:pStyle w:val="Compact"/>
            </w:pPr>
            <w:r>
              <w:t xml:space="preserve">28 days</w:t>
            </w:r>
          </w:p>
        </w:tc>
        <w:tc>
          <w:tcPr/>
          <w:p>
            <w:pPr>
              <w:pStyle w:val="Compact"/>
            </w:pPr>
            <w:r>
              <w:t xml:space="preserve">type_commercial</w:t>
            </w:r>
          </w:p>
        </w:tc>
        <w:tc>
          <w:tcPr/>
          <w:p>
            <w:pPr>
              <w:pStyle w:val="Compact"/>
            </w:pPr>
            <w:r>
              <w:t xml:space="preserve">Published</w:t>
            </w:r>
          </w:p>
        </w:tc>
      </w:tr>
      <w:tr>
        <w:tc>
          <w:tcPr/>
          <w:p>
            <w:pPr>
              <w:pStyle w:val="Compact"/>
            </w:pPr>
            <w:r>
              <w:t xml:space="preserve">Partner Drip</w:t>
            </w:r>
          </w:p>
        </w:tc>
        <w:tc>
          <w:tcPr/>
          <w:p>
            <w:pPr>
              <w:pStyle w:val="Compact"/>
            </w:pPr>
            <w:r>
              <w:t xml:space="preserve">9 35 days</w:t>
            </w:r>
          </w:p>
        </w:tc>
        <w:tc>
          <w:tcPr/>
          <w:p>
            <w:pPr>
              <w:pStyle w:val="Compact"/>
            </w:pPr>
          </w:p>
        </w:tc>
        <w:tc>
          <w:tcPr/>
          <w:p>
            <w:pPr>
              <w:pStyle w:val="Compact"/>
            </w:pPr>
            <w:r>
              <w:t xml:space="preserve">type_partner</w:t>
            </w:r>
          </w:p>
        </w:tc>
        <w:tc>
          <w:tcPr/>
          <w:p>
            <w:pPr>
              <w:pStyle w:val="Compact"/>
            </w:pPr>
            <w:r>
              <w:t xml:space="preserve">Published</w:t>
            </w:r>
          </w:p>
        </w:tc>
      </w:tr>
    </w:tbl>
    <w:bookmarkEnd w:id="55"/>
    <w:bookmarkStart w:id="5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7"/>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7"/>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7"/>
        </w:numPr>
      </w:pPr>
      <w:r>
        <w:t xml:space="preserve">Apply drip_bypass + investor_warm to skip cold drip and enroll in the warm sequence.</w:t>
      </w:r>
    </w:p>
    <w:p>
      <w:pPr>
        <w:numPr>
          <w:ilvl w:val="0"/>
          <w:numId w:val="1007"/>
        </w:numPr>
      </w:pPr>
      <w:r>
        <w:t xml:space="preserve">Apply drip_bypass alone to skip all drip enrollment for manually managed contacts.</w:t>
      </w:r>
    </w:p>
    <w:p>
      <w:pPr>
        <w:numPr>
          <w:ilvl w:val="0"/>
          <w:numId w:val="1007"/>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56"/>
    <w:bookmarkStart w:id="5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57"/>
    <w:bookmarkStart w:id="58" w:name="consumer-drip-12-touch-sequence"/>
    <w:p>
      <w:pPr>
        <w:pStyle w:val="Heading2"/>
      </w:pPr>
      <w:r>
        <w:t xml:space="preserve">Consumer Drip, 12 Touch Sequence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Touch</w:t>
            </w:r>
          </w:p>
        </w:tc>
        <w:tc>
          <w:tcPr/>
          <w:p>
            <w:pPr>
              <w:pStyle w:val="Compact"/>
            </w:pPr>
            <w:r>
              <w:rPr>
                <w:b/>
                <w:bCs/>
              </w:rPr>
              <w:t xml:space="preserve">Day</w:t>
            </w:r>
          </w:p>
        </w:tc>
        <w:tc>
          <w:tcPr/>
          <w:p>
            <w:pPr>
              <w:pStyle w:val="Compact"/>
            </w:pPr>
            <w:r>
              <w:rPr>
                <w:b/>
                <w:bCs/>
              </w:rPr>
              <w:t xml:space="preserve">Type</w:t>
            </w:r>
          </w:p>
        </w:tc>
        <w:tc>
          <w:tcPr/>
          <w:p>
            <w:pPr>
              <w:pStyle w:val="Compact"/>
            </w:pPr>
            <w:r>
              <w:rPr>
                <w:b/>
                <w:bCs/>
              </w:rPr>
              <w:t xml:space="preserve">Content</w:t>
            </w:r>
          </w:p>
        </w:tc>
      </w:tr>
      <w:tr>
        <w:tc>
          <w:tcPr/>
          <w:p>
            <w:pPr>
              <w:pStyle w:val="Compact"/>
            </w:pPr>
            <w:r>
              <w:t xml:space="preserve">1 0</w:t>
            </w:r>
          </w:p>
        </w:tc>
        <w:tc>
          <w:tcPr/>
          <w:p>
            <w:pPr>
              <w:pStyle w:val="Compact"/>
            </w:pPr>
          </w:p>
        </w:tc>
        <w:tc>
          <w:tcPr/>
          <w:p>
            <w:pPr>
              <w:pStyle w:val="Compact"/>
            </w:pPr>
            <w:r>
              <w:t xml:space="preserve">SMS</w:t>
            </w:r>
          </w:p>
        </w:tc>
        <w:tc>
          <w:tcPr/>
          <w:p>
            <w:pPr>
              <w:pStyle w:val="Compact"/>
            </w:pPr>
            <w:r>
              <w:t xml:space="preserve">Instant first response, Scott from Enyrgy</w:t>
            </w:r>
          </w:p>
        </w:tc>
      </w:tr>
      <w:tr>
        <w:tc>
          <w:tcPr/>
          <w:p>
            <w:pPr>
              <w:pStyle w:val="Compact"/>
            </w:pPr>
            <w:r>
              <w:t xml:space="preserve">2 1</w:t>
            </w:r>
          </w:p>
        </w:tc>
        <w:tc>
          <w:tcPr/>
          <w:p>
            <w:pPr>
              <w:pStyle w:val="Compact"/>
            </w:pPr>
          </w:p>
        </w:tc>
        <w:tc>
          <w:tcPr/>
          <w:p>
            <w:pPr>
              <w:pStyle w:val="Compact"/>
            </w:pPr>
            <w:r>
              <w:t xml:space="preserve">Email</w:t>
            </w:r>
          </w:p>
        </w:tc>
        <w:tc>
          <w:tcPr/>
          <w:p>
            <w:pPr>
              <w:pStyle w:val="Compact"/>
            </w:pPr>
            <w:r>
              <w:t xml:space="preserve">You’re doing everything right. So why don’t you feel better?</w:t>
            </w:r>
          </w:p>
        </w:tc>
      </w:tr>
      <w:tr>
        <w:tc>
          <w:tcPr/>
          <w:p>
            <w:pPr>
              <w:pStyle w:val="Compact"/>
            </w:pPr>
            <w:r>
              <w:t xml:space="preserve">3 3</w:t>
            </w:r>
          </w:p>
        </w:tc>
        <w:tc>
          <w:tcPr/>
          <w:p>
            <w:pPr>
              <w:pStyle w:val="Compact"/>
            </w:pPr>
          </w:p>
        </w:tc>
        <w:tc>
          <w:tcPr/>
          <w:p>
            <w:pPr>
              <w:pStyle w:val="Compact"/>
            </w:pPr>
            <w:r>
              <w:t xml:space="preserve">SMS</w:t>
            </w:r>
          </w:p>
        </w:tc>
        <w:tc>
          <w:tcPr/>
          <w:p>
            <w:pPr>
              <w:pStyle w:val="Compact"/>
            </w:pPr>
            <w:r>
              <w:t xml:space="preserve">Vitamin D levels question, YES or NO branch</w:t>
            </w:r>
          </w:p>
        </w:tc>
      </w:tr>
      <w:tr>
        <w:tc>
          <w:tcPr/>
          <w:p>
            <w:pPr>
              <w:pStyle w:val="Compact"/>
            </w:pPr>
            <w:r>
              <w:t xml:space="preserve">4 5</w:t>
            </w:r>
          </w:p>
        </w:tc>
        <w:tc>
          <w:tcPr/>
          <w:p>
            <w:pPr>
              <w:pStyle w:val="Compact"/>
            </w:pPr>
          </w:p>
        </w:tc>
        <w:tc>
          <w:tcPr/>
          <w:p>
            <w:pPr>
              <w:pStyle w:val="Compact"/>
            </w:pPr>
            <w:r>
              <w:t xml:space="preserve">Email</w:t>
            </w:r>
          </w:p>
        </w:tc>
        <w:tc>
          <w:tcPr/>
          <w:p>
            <w:pPr>
              <w:pStyle w:val="Compact"/>
            </w:pPr>
            <w:r>
              <w:t xml:space="preserve">The supplement industry has a dirty little secret</w:t>
            </w:r>
          </w:p>
        </w:tc>
      </w:tr>
      <w:tr>
        <w:tc>
          <w:tcPr/>
          <w:p>
            <w:pPr>
              <w:pStyle w:val="Compact"/>
            </w:pPr>
            <w:r>
              <w:t xml:space="preserve">5 7</w:t>
            </w:r>
          </w:p>
        </w:tc>
        <w:tc>
          <w:tcPr/>
          <w:p>
            <w:pPr>
              <w:pStyle w:val="Compact"/>
            </w:pPr>
          </w:p>
        </w:tc>
        <w:tc>
          <w:tcPr/>
          <w:p>
            <w:pPr>
              <w:pStyle w:val="Compact"/>
            </w:pPr>
            <w:r>
              <w:t xml:space="preserve">Internal</w:t>
            </w:r>
          </w:p>
        </w:tc>
        <w:tc>
          <w:tcPr/>
          <w:p>
            <w:pPr>
              <w:pStyle w:val="Compact"/>
            </w:pPr>
            <w:r>
              <w:t xml:space="preserve">Personal call reminder + voicemail script</w:t>
            </w:r>
          </w:p>
        </w:tc>
      </w:tr>
      <w:tr>
        <w:tc>
          <w:tcPr/>
          <w:p>
            <w:pPr>
              <w:pStyle w:val="Compact"/>
            </w:pPr>
            <w:r>
              <w:t xml:space="preserve">6 8</w:t>
            </w:r>
          </w:p>
        </w:tc>
        <w:tc>
          <w:tcPr/>
          <w:p>
            <w:pPr>
              <w:pStyle w:val="Compact"/>
            </w:pPr>
          </w:p>
        </w:tc>
        <w:tc>
          <w:tcPr/>
          <w:p>
            <w:pPr>
              <w:pStyle w:val="Compact"/>
            </w:pPr>
            <w:r>
              <w:t xml:space="preserve">SMS</w:t>
            </w:r>
          </w:p>
        </w:tc>
        <w:tc>
          <w:tcPr/>
          <w:p>
            <w:pPr>
              <w:pStyle w:val="Compact"/>
            </w:pPr>
            <w:r>
              <w:t xml:space="preserve">Story follow up after voicemail</w:t>
            </w:r>
          </w:p>
        </w:tc>
      </w:tr>
      <w:tr>
        <w:tc>
          <w:tcPr/>
          <w:p>
            <w:pPr>
              <w:pStyle w:val="Compact"/>
            </w:pPr>
            <w:r>
              <w:t xml:space="preserve">7 10</w:t>
            </w:r>
          </w:p>
        </w:tc>
        <w:tc>
          <w:tcPr/>
          <w:p>
            <w:pPr>
              <w:pStyle w:val="Compact"/>
            </w:pPr>
          </w:p>
        </w:tc>
        <w:tc>
          <w:tcPr/>
          <w:p>
            <w:pPr>
              <w:pStyle w:val="Compact"/>
            </w:pPr>
            <w:r>
              <w:t xml:space="preserve">Email</w:t>
            </w:r>
          </w:p>
        </w:tc>
        <w:tc>
          <w:tcPr/>
          <w:p>
            <w:pPr>
              <w:pStyle w:val="Compact"/>
            </w:pPr>
            <w:r>
              <w:t xml:space="preserve">Is it safe?, UV safety deep dive</w:t>
            </w:r>
          </w:p>
        </w:tc>
      </w:tr>
      <w:tr>
        <w:tc>
          <w:tcPr/>
          <w:p>
            <w:pPr>
              <w:pStyle w:val="Compact"/>
            </w:pPr>
            <w:r>
              <w:t xml:space="preserve">8 12</w:t>
            </w:r>
          </w:p>
        </w:tc>
        <w:tc>
          <w:tcPr/>
          <w:p>
            <w:pPr>
              <w:pStyle w:val="Compact"/>
            </w:pPr>
          </w:p>
        </w:tc>
        <w:tc>
          <w:tcPr/>
          <w:p>
            <w:pPr>
              <w:pStyle w:val="Compact"/>
            </w:pPr>
            <w:r>
              <w:t xml:space="preserve">Email</w:t>
            </w:r>
          </w:p>
        </w:tc>
        <w:tc>
          <w:tcPr/>
          <w:p>
            <w:pPr>
              <w:pStyle w:val="Compact"/>
            </w:pPr>
            <w:r>
              <w:t xml:space="preserve">What would $2,995 cost per session? ($1.15 at 5x/week over 5 years)</w:t>
            </w:r>
          </w:p>
        </w:tc>
      </w:tr>
      <w:tr>
        <w:tc>
          <w:tcPr/>
          <w:p>
            <w:pPr>
              <w:pStyle w:val="Compact"/>
            </w:pPr>
            <w:r>
              <w:t xml:space="preserve">9 14</w:t>
            </w:r>
          </w:p>
        </w:tc>
        <w:tc>
          <w:tcPr/>
          <w:p>
            <w:pPr>
              <w:pStyle w:val="Compact"/>
            </w:pPr>
          </w:p>
        </w:tc>
        <w:tc>
          <w:tcPr/>
          <w:p>
            <w:pPr>
              <w:pStyle w:val="Compact"/>
            </w:pPr>
            <w:r>
              <w:t xml:space="preserve">SMS</w:t>
            </w:r>
          </w:p>
        </w:tc>
        <w:tc>
          <w:tcPr/>
          <w:p>
            <w:pPr>
              <w:pStyle w:val="Compact"/>
            </w:pPr>
            <w:r>
              <w:t xml:space="preserve">90% of customers use red light too</w:t>
            </w:r>
          </w:p>
        </w:tc>
      </w:tr>
      <w:tr>
        <w:tc>
          <w:tcPr/>
          <w:p>
            <w:pPr>
              <w:pStyle w:val="Compact"/>
            </w:pPr>
            <w:r>
              <w:t xml:space="preserve">10</w:t>
            </w:r>
          </w:p>
        </w:tc>
        <w:tc>
          <w:tcPr/>
          <w:p>
            <w:pPr>
              <w:pStyle w:val="Compact"/>
            </w:pPr>
            <w:r>
              <w:t xml:space="preserve">16</w:t>
            </w:r>
          </w:p>
        </w:tc>
        <w:tc>
          <w:tcPr/>
          <w:p>
            <w:pPr>
              <w:pStyle w:val="Compact"/>
            </w:pPr>
            <w:r>
              <w:t xml:space="preserve">Email</w:t>
            </w:r>
          </w:p>
        </w:tc>
        <w:tc>
          <w:tcPr/>
          <w:p>
            <w:pPr>
              <w:pStyle w:val="Compact"/>
            </w:pPr>
            <w:r>
              <w:t xml:space="preserve">For the person who has done their research</w:t>
            </w:r>
          </w:p>
        </w:tc>
      </w:tr>
      <w:tr>
        <w:tc>
          <w:tcPr/>
          <w:p>
            <w:pPr>
              <w:pStyle w:val="Compact"/>
            </w:pPr>
            <w:r>
              <w:t xml:space="preserve">11</w:t>
            </w:r>
          </w:p>
        </w:tc>
        <w:tc>
          <w:tcPr/>
          <w:p>
            <w:pPr>
              <w:pStyle w:val="Compact"/>
            </w:pPr>
            <w:r>
              <w:t xml:space="preserve">19</w:t>
            </w:r>
          </w:p>
        </w:tc>
        <w:tc>
          <w:tcPr/>
          <w:p>
            <w:pPr>
              <w:pStyle w:val="Compact"/>
            </w:pPr>
            <w:r>
              <w:t xml:space="preserve">SMS</w:t>
            </w:r>
          </w:p>
        </w:tc>
        <w:tc>
          <w:tcPr/>
          <w:p>
            <w:pPr>
              <w:pStyle w:val="Compact"/>
            </w:pPr>
            <w:r>
              <w:t xml:space="preserve">Limited availability, Phoenix, AZ manufacturing</w:t>
            </w:r>
          </w:p>
        </w:tc>
      </w:tr>
      <w:tr>
        <w:tc>
          <w:tcPr/>
          <w:p>
            <w:pPr>
              <w:pStyle w:val="Compact"/>
            </w:pPr>
            <w:r>
              <w:t xml:space="preserve">12</w:t>
            </w:r>
          </w:p>
        </w:tc>
        <w:tc>
          <w:tcPr/>
          <w:p>
            <w:pPr>
              <w:pStyle w:val="Compact"/>
            </w:pPr>
            <w:r>
              <w:t xml:space="preserve">21</w:t>
            </w:r>
          </w:p>
        </w:tc>
        <w:tc>
          <w:tcPr/>
          <w:p>
            <w:pPr>
              <w:pStyle w:val="Compact"/>
            </w:pPr>
            <w:r>
              <w:t xml:space="preserve">Email</w:t>
            </w:r>
          </w:p>
        </w:tc>
        <w:tc>
          <w:tcPr/>
          <w:p>
            <w:pPr>
              <w:pStyle w:val="Compact"/>
            </w:pPr>
            <w:r>
              <w:t xml:space="preserve">Closing the loop, leaving the door open</w:t>
            </w:r>
          </w:p>
        </w:tc>
      </w:tr>
    </w:tbl>
    <w:bookmarkEnd w:id="58"/>
    <w:bookmarkStart w:id="59" w:name="investor-drip-8-touch-sequence"/>
    <w:p>
      <w:pPr>
        <w:pStyle w:val="Heading2"/>
      </w:pPr>
      <w:r>
        <w:t xml:space="preserve">Investor Drip, 8 Touch Sequence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Touch</w:t>
            </w:r>
          </w:p>
        </w:tc>
        <w:tc>
          <w:tcPr/>
          <w:p>
            <w:pPr>
              <w:pStyle w:val="Compact"/>
            </w:pPr>
            <w:r>
              <w:rPr>
                <w:b/>
                <w:bCs/>
              </w:rPr>
              <w:t xml:space="preserve">Day</w:t>
            </w:r>
          </w:p>
        </w:tc>
        <w:tc>
          <w:tcPr/>
          <w:p>
            <w:pPr>
              <w:pStyle w:val="Compact"/>
            </w:pPr>
            <w:r>
              <w:rPr>
                <w:b/>
                <w:bCs/>
              </w:rPr>
              <w:t xml:space="preserve">Type</w:t>
            </w:r>
          </w:p>
        </w:tc>
        <w:tc>
          <w:tcPr/>
          <w:p>
            <w:pPr>
              <w:pStyle w:val="Compact"/>
            </w:pPr>
            <w:r>
              <w:rPr>
                <w:b/>
                <w:bCs/>
              </w:rPr>
              <w:t xml:space="preserve">Content</w:t>
            </w:r>
          </w:p>
        </w:tc>
      </w:tr>
      <w:tr>
        <w:tc>
          <w:tcPr/>
          <w:p>
            <w:pPr>
              <w:pStyle w:val="Compact"/>
            </w:pPr>
            <w:r>
              <w:t xml:space="preserve">1 1</w:t>
            </w:r>
          </w:p>
        </w:tc>
        <w:tc>
          <w:tcPr/>
          <w:p>
            <w:pPr>
              <w:pStyle w:val="Compact"/>
            </w:pPr>
          </w:p>
        </w:tc>
        <w:tc>
          <w:tcPr/>
          <w:p>
            <w:pPr>
              <w:pStyle w:val="Compact"/>
            </w:pPr>
            <w:r>
              <w:t xml:space="preserve">Email</w:t>
            </w:r>
          </w:p>
        </w:tc>
        <w:tc>
          <w:tcPr/>
          <w:p>
            <w:pPr>
              <w:pStyle w:val="Compact"/>
            </w:pPr>
            <w:r>
              <w:t xml:space="preserve">Company overview, no financial details</w:t>
            </w:r>
          </w:p>
        </w:tc>
      </w:tr>
      <w:tr>
        <w:tc>
          <w:tcPr/>
          <w:p>
            <w:pPr>
              <w:pStyle w:val="Compact"/>
            </w:pPr>
            <w:r>
              <w:t xml:space="preserve">2 3</w:t>
            </w:r>
          </w:p>
        </w:tc>
        <w:tc>
          <w:tcPr/>
          <w:p>
            <w:pPr>
              <w:pStyle w:val="Compact"/>
            </w:pPr>
          </w:p>
        </w:tc>
        <w:tc>
          <w:tcPr/>
          <w:p>
            <w:pPr>
              <w:pStyle w:val="Compact"/>
            </w:pPr>
            <w:r>
              <w:t xml:space="preserve">Internal</w:t>
            </w:r>
          </w:p>
        </w:tc>
        <w:tc>
          <w:tcPr/>
          <w:p>
            <w:pPr>
              <w:pStyle w:val="Compact"/>
            </w:pPr>
            <w:r>
              <w:t xml:space="preserve">LinkedIn connect reminder, HUMAN TASK</w:t>
            </w:r>
          </w:p>
        </w:tc>
      </w:tr>
      <w:tr>
        <w:tc>
          <w:tcPr/>
          <w:p>
            <w:pPr>
              <w:pStyle w:val="Compact"/>
            </w:pPr>
            <w:r>
              <w:t xml:space="preserve">3 6</w:t>
            </w:r>
          </w:p>
        </w:tc>
        <w:tc>
          <w:tcPr/>
          <w:p>
            <w:pPr>
              <w:pStyle w:val="Compact"/>
            </w:pPr>
          </w:p>
        </w:tc>
        <w:tc>
          <w:tcPr/>
          <w:p>
            <w:pPr>
              <w:pStyle w:val="Compact"/>
            </w:pPr>
            <w:r>
              <w:t xml:space="preserve">Email</w:t>
            </w:r>
          </w:p>
        </w:tc>
        <w:tc>
          <w:tcPr/>
          <w:p>
            <w:pPr>
              <w:pStyle w:val="Compact"/>
            </w:pPr>
            <w:r>
              <w:t xml:space="preserve">Traction email, 600+ customers, 25,000+ treatments</w:t>
            </w:r>
          </w:p>
        </w:tc>
      </w:tr>
      <w:tr>
        <w:tc>
          <w:tcPr/>
          <w:p>
            <w:pPr>
              <w:pStyle w:val="Compact"/>
            </w:pPr>
            <w:r>
              <w:t xml:space="preserve">4 10</w:t>
            </w:r>
          </w:p>
        </w:tc>
        <w:tc>
          <w:tcPr/>
          <w:p>
            <w:pPr>
              <w:pStyle w:val="Compact"/>
            </w:pPr>
          </w:p>
        </w:tc>
        <w:tc>
          <w:tcPr/>
          <w:p>
            <w:pPr>
              <w:pStyle w:val="Compact"/>
            </w:pPr>
            <w:r>
              <w:t xml:space="preserve">Internal</w:t>
            </w:r>
          </w:p>
        </w:tc>
        <w:tc>
          <w:tcPr/>
          <w:p>
            <w:pPr>
              <w:pStyle w:val="Compact"/>
            </w:pPr>
            <w:r>
              <w:t xml:space="preserve">Direct call attempt + voicemail, HUMAN TASK</w:t>
            </w:r>
          </w:p>
        </w:tc>
      </w:tr>
      <w:tr>
        <w:tc>
          <w:tcPr/>
          <w:p>
            <w:pPr>
              <w:pStyle w:val="Compact"/>
            </w:pPr>
            <w:r>
              <w:t xml:space="preserve">5 14</w:t>
            </w:r>
          </w:p>
        </w:tc>
        <w:tc>
          <w:tcPr/>
          <w:p>
            <w:pPr>
              <w:pStyle w:val="Compact"/>
            </w:pPr>
          </w:p>
        </w:tc>
        <w:tc>
          <w:tcPr/>
          <w:p>
            <w:pPr>
              <w:pStyle w:val="Compact"/>
            </w:pPr>
            <w:r>
              <w:t xml:space="preserve">Email</w:t>
            </w:r>
          </w:p>
        </w:tc>
        <w:tc>
          <w:tcPr/>
          <w:p>
            <w:pPr>
              <w:pStyle w:val="Compact"/>
            </w:pPr>
            <w:r>
              <w:t xml:space="preserve">Team credibility, scientific advisors</w:t>
            </w:r>
          </w:p>
        </w:tc>
      </w:tr>
      <w:tr>
        <w:tc>
          <w:tcPr/>
          <w:p>
            <w:pPr>
              <w:pStyle w:val="Compact"/>
            </w:pPr>
            <w:r>
              <w:t xml:space="preserve">6 18</w:t>
            </w:r>
          </w:p>
        </w:tc>
        <w:tc>
          <w:tcPr/>
          <w:p>
            <w:pPr>
              <w:pStyle w:val="Compact"/>
            </w:pPr>
          </w:p>
        </w:tc>
        <w:tc>
          <w:tcPr/>
          <w:p>
            <w:pPr>
              <w:pStyle w:val="Compact"/>
            </w:pPr>
            <w:r>
              <w:t xml:space="preserve">Email</w:t>
            </w:r>
          </w:p>
        </w:tc>
        <w:tc>
          <w:tcPr/>
          <w:p>
            <w:pPr>
              <w:pStyle w:val="Compact"/>
            </w:pPr>
            <w:r>
              <w:t xml:space="preserve">Second follow-up, traction update or proof point</w:t>
            </w:r>
          </w:p>
        </w:tc>
      </w:tr>
      <w:tr>
        <w:tc>
          <w:tcPr/>
          <w:p>
            <w:pPr>
              <w:pStyle w:val="Compact"/>
            </w:pPr>
            <w:r>
              <w:t xml:space="preserve">7 22</w:t>
            </w:r>
          </w:p>
        </w:tc>
        <w:tc>
          <w:tcPr/>
          <w:p>
            <w:pPr>
              <w:pStyle w:val="Compact"/>
            </w:pPr>
          </w:p>
        </w:tc>
        <w:tc>
          <w:tcPr/>
          <w:p>
            <w:pPr>
              <w:pStyle w:val="Compact"/>
            </w:pPr>
            <w:r>
              <w:t xml:space="preserve">Email</w:t>
            </w:r>
          </w:p>
        </w:tc>
        <w:tc>
          <w:tcPr/>
          <w:p>
            <w:pPr>
              <w:pStyle w:val="Compact"/>
            </w:pPr>
            <w:r>
              <w:t xml:space="preserve">PPM delivery, sent after intro meeting is complete (no accreditation required)</w:t>
            </w:r>
          </w:p>
        </w:tc>
      </w:tr>
      <w:tr>
        <w:tc>
          <w:tcPr/>
          <w:p>
            <w:pPr>
              <w:pStyle w:val="Compact"/>
            </w:pPr>
            <w:r>
              <w:t xml:space="preserve">8 30</w:t>
            </w:r>
          </w:p>
        </w:tc>
        <w:tc>
          <w:tcPr/>
          <w:p>
            <w:pPr>
              <w:pStyle w:val="Compact"/>
            </w:pPr>
          </w:p>
        </w:tc>
        <w:tc>
          <w:tcPr/>
          <w:p>
            <w:pPr>
              <w:pStyle w:val="Compact"/>
            </w:pPr>
            <w:r>
              <w:t xml:space="preserve">Email</w:t>
            </w:r>
          </w:p>
        </w:tc>
        <w:tc>
          <w:tcPr/>
          <w:p>
            <w:pPr>
              <w:pStyle w:val="Compac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59"/>
    <w:bookmarkEnd w:id="60"/>
    <w:bookmarkStart w:id="69" w:name="section-12-core-workflows"/>
    <w:p>
      <w:pPr>
        <w:pStyle w:val="Heading1"/>
      </w:pPr>
      <w:r>
        <w:t xml:space="preserve">SECTION 12: CORE WORKFLOWS</w:t>
      </w:r>
    </w:p>
    <w:bookmarkStart w:id="61" w:name="wf-01-through-wf-10"/>
    <w:p>
      <w:pPr>
        <w:pStyle w:val="Heading2"/>
      </w:pPr>
      <w:r>
        <w:t xml:space="preserve">WF-01 through WF-10</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Workflow</w:t>
            </w:r>
          </w:p>
        </w:tc>
        <w:tc>
          <w:tcPr/>
          <w:p>
            <w:pPr>
              <w:pStyle w:val="Compact"/>
            </w:pPr>
            <w:r>
              <w:rPr>
                <w:b/>
                <w:bCs/>
              </w:rPr>
              <w:t xml:space="preserve">Trigger</w:t>
            </w:r>
          </w:p>
        </w:tc>
        <w:tc>
          <w:tcPr/>
          <w:p>
            <w:pPr>
              <w:pStyle w:val="Compact"/>
            </w:pPr>
            <w:r>
              <w:rPr>
                <w:b/>
                <w:bCs/>
              </w:rPr>
              <w:t xml:space="preserve">Status</w:t>
            </w:r>
          </w:p>
        </w:tc>
        <w:tc>
          <w:tcPr/>
          <w:p>
            <w:pPr>
              <w:pStyle w:val="Compact"/>
            </w:pPr>
            <w:r>
              <w:rPr>
                <w:b/>
                <w:bCs/>
              </w:rPr>
              <w:t xml:space="preserve">v3.7 change</w:t>
            </w:r>
          </w:p>
        </w:tc>
      </w:tr>
      <w:tr>
        <w:tc>
          <w:tcPr/>
          <w:p>
            <w:pPr>
              <w:pStyle w:val="Compact"/>
            </w:pPr>
            <w:r>
              <w:t xml:space="preserve">WF-01 New Lead Router</w:t>
            </w:r>
          </w:p>
        </w:tc>
        <w:tc>
          <w:tcPr/>
          <w:p>
            <w:pPr>
              <w:pStyle w:val="Compact"/>
            </w:pPr>
            <w:r>
              <w:t xml:space="preserve">Contact Created</w:t>
            </w:r>
          </w:p>
        </w:tc>
        <w:tc>
          <w:tcPr/>
          <w:p>
            <w:pPr>
              <w:pStyle w:val="Compact"/>
            </w:pPr>
            <w:r>
              <w:t xml:space="preserve">Published</w:t>
            </w:r>
          </w:p>
        </w:tc>
        <w:tc>
          <w:tcPr/>
          <w:p>
            <w:pPr>
              <w:pStyle w:val="Compact"/>
            </w:pPr>
            <w:r>
              <w:rPr>
                <w:b/>
                <w:bCs/>
              </w:rPr>
              <w:t xml:space="preserve">GUARDED (Aug 1, 4 and 7).</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 AND Email is not empty</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r>
              <w:t xml:space="preserve"> </w:t>
            </w:r>
            <w:r>
              <w:rPr>
                <w:b/>
                <w:bCs/>
              </w:rPr>
              <w:t xml:space="preserve">The</w:t>
            </w:r>
            <w:r>
              <w:rPr>
                <w:b/>
                <w:bCs/>
              </w:rPr>
              <w:t xml:space="preserve"> </w:t>
            </w:r>
            <w:r>
              <w:rPr>
                <w:rStyle w:val="VerbatimChar"/>
                <w:b/>
                <w:bCs/>
              </w:rPr>
              <w:t xml:space="preserve">Email is not empty</w:t>
            </w:r>
            <w:r>
              <w:rPr>
                <w:b/>
                <w:bCs/>
              </w:rPr>
              <w:t xml:space="preserve"> </w:t>
            </w:r>
            <w:r>
              <w:rPr>
                <w:b/>
                <w:bCs/>
              </w:rPr>
              <w:t xml:space="preserve">clause (Aug 7) stops inbound phone calls becoming consumer leads.</w:t>
            </w:r>
            <w:r>
              <w:t xml:space="preserve"> </w:t>
            </w:r>
            <w:r>
              <w:t xml:space="preserve">GHL creates a contact for every inbound call, and routing one accomplishes nothing: with no email the Consumer Drip cannot send, and with no SMS Consent WF-02’s gate blocks the text. The only effects were tags and a spurious Opportunity in the Consumer Product Pipeline. Every genuine lead source captures an email, so email-less contacts are effectively only ever call-created.</w:t>
            </w:r>
          </w:p>
        </w:tc>
      </w:tr>
      <w:tr>
        <w:tc>
          <w:tcPr/>
          <w:p>
            <w:pPr>
              <w:pStyle w:val="Compact"/>
            </w:pPr>
            <w:r>
              <w:t xml:space="preserve">WF-02 5 Minute First Response</w:t>
            </w:r>
          </w:p>
        </w:tc>
        <w:tc>
          <w:tcPr/>
          <w:p>
            <w:pPr>
              <w:pStyle w:val="Compact"/>
            </w:pPr>
            <w:r>
              <w:t xml:space="preserve">type_consumer tag applied</w:t>
            </w:r>
          </w:p>
        </w:tc>
        <w:tc>
          <w:tcPr/>
          <w:p>
            <w:pPr>
              <w:pStyle w:val="Compact"/>
            </w:pPr>
            <w:r>
              <w:t xml:space="preserve">Published</w:t>
            </w:r>
          </w:p>
        </w:tc>
        <w:tc>
          <w:tcPr/>
          <w:p>
            <w:pPr>
              <w:pStyle w:val="Compact"/>
            </w:pPr>
            <w:r>
              <w:rPr>
                <w:b/>
                <w:bCs/>
              </w:rPr>
              <w:t xml:space="preserve">Gated: If/Else skips contacts with drip_bypass</w:t>
            </w:r>
          </w:p>
        </w:tc>
      </w:tr>
      <w:tr>
        <w:tc>
          <w:tcPr/>
          <w:p>
            <w:pPr>
              <w:pStyle w:val="Compact"/>
            </w:pPr>
            <w:r>
              <w:t xml:space="preserve">WF-03 Lead Score Updater</w:t>
            </w:r>
          </w:p>
        </w:tc>
        <w:tc>
          <w:tcPr/>
          <w:p>
            <w:pPr>
              <w:pStyle w:val="Compact"/>
            </w:pPr>
            <w:r>
              <w:t xml:space="preserve">Native via Manage Scoring</w:t>
            </w:r>
          </w:p>
        </w:tc>
        <w:tc>
          <w:tcPr/>
          <w:p>
            <w:pPr>
              <w:pStyle w:val="Compact"/>
            </w:pPr>
            <w:r>
              <w:t xml:space="preserve">Active</w:t>
            </w:r>
          </w:p>
        </w:tc>
        <w:tc>
          <w:tcPr/>
          <w:p>
            <w:pPr>
              <w:pStyle w:val="Compact"/>
            </w:pPr>
            <w:r>
              <w:t xml:space="preserve">—</w:t>
            </w:r>
          </w:p>
        </w:tc>
      </w:tr>
      <w:tr>
        <w:tc>
          <w:tcPr/>
          <w:p>
            <w:pPr>
              <w:pStyle w:val="Compact"/>
            </w:pPr>
            <w:r>
              <w:t xml:space="preserve">WF-04 Stale Lead Sentinel</w:t>
            </w:r>
          </w:p>
        </w:tc>
        <w:tc>
          <w:tcPr/>
          <w:p>
            <w:pPr>
              <w:pStyle w:val="Compact"/>
            </w:pPr>
            <w:r>
              <w:t xml:space="preserve">Daily scheduler 8AM</w:t>
            </w:r>
          </w:p>
        </w:tc>
        <w:tc>
          <w:tcPr/>
          <w:p>
            <w:pPr>
              <w:pStyle w:val="Compact"/>
            </w:pPr>
            <w:r>
              <w:t xml:space="preserve">Published</w:t>
            </w:r>
          </w:p>
        </w:tc>
        <w:tc>
          <w:tcPr/>
          <w:p>
            <w:pPr>
              <w:pStyle w:val="Compact"/>
            </w:pPr>
            <w:r>
              <w:rPr>
                <w:b/>
                <w:bCs/>
              </w:rPr>
              <w:t xml:space="preserve">“Stale Lead”</w:t>
            </w:r>
            <w:r>
              <w:rPr>
                <w:b/>
                <w:bCs/>
              </w:rPr>
              <w:t xml:space="preserve"> </w:t>
            </w:r>
            <w:r>
              <w:rPr>
                <w:b/>
                <w:bCs/>
              </w:rPr>
              <w:t xml:space="preserve">branch requires status_in_drip AND NOT drip_bypass</w:t>
            </w:r>
          </w:p>
        </w:tc>
      </w:tr>
      <w:tr>
        <w:tc>
          <w:tcPr/>
          <w:p>
            <w:pPr>
              <w:pStyle w:val="Compact"/>
            </w:pPr>
            <w:r>
              <w:t xml:space="preserve">WF-05 Demo Completion To Proposal</w:t>
            </w:r>
          </w:p>
        </w:tc>
        <w:tc>
          <w:tcPr/>
          <w:p>
            <w:pPr>
              <w:pStyle w:val="Compact"/>
            </w:pPr>
            <w:r>
              <w:t xml:space="preserve">Has Seen Demo = Yes</w:t>
            </w:r>
          </w:p>
        </w:tc>
        <w:tc>
          <w:tcPr/>
          <w:p>
            <w:pPr>
              <w:pStyle w:val="Compact"/>
            </w:pPr>
            <w:r>
              <w:t xml:space="preserve">Published</w:t>
            </w:r>
          </w:p>
        </w:tc>
        <w:tc>
          <w:tcPr/>
          <w:p>
            <w:pPr>
              <w:pStyle w:val="Compact"/>
            </w:pPr>
            <w:r>
              <w:t xml:space="preserve">—</w:t>
            </w:r>
          </w:p>
        </w:tc>
      </w:tr>
      <w:tr>
        <w:tc>
          <w:tcPr/>
          <w:p>
            <w:pPr>
              <w:pStyle w:val="Compact"/>
            </w:pPr>
            <w:r>
              <w:t xml:space="preserve">WF-06 New Customer Onboarding</w:t>
            </w:r>
          </w:p>
        </w:tc>
        <w:tc>
          <w:tcPr/>
          <w:p>
            <w:pPr>
              <w:pStyle w:val="Compact"/>
            </w:pPr>
            <w:r>
              <w:t xml:space="preserve">unit_shipped tag applied</w:t>
            </w:r>
          </w:p>
        </w:tc>
        <w:tc>
          <w:tcPr/>
          <w:p>
            <w:pPr>
              <w:pStyle w:val="Compact"/>
            </w:pPr>
            <w:r>
              <w:t xml:space="preserve">Published</w:t>
            </w:r>
          </w:p>
        </w:tc>
        <w:tc>
          <w:tcPr/>
          <w:p>
            <w:pPr>
              <w:pStyle w:val="Compact"/>
            </w:pPr>
            <w:r>
              <w:t xml:space="preserve">—</w:t>
            </w:r>
          </w:p>
        </w:tc>
      </w:tr>
      <w:tr>
        <w:tc>
          <w:tcPr/>
          <w:p>
            <w:pPr>
              <w:pStyle w:val="Compact"/>
            </w:pPr>
            <w:r>
              <w:t xml:space="preserve">WF-07 Review And Referral Activation</w:t>
            </w:r>
          </w:p>
        </w:tc>
        <w:tc>
          <w:tcPr/>
          <w:p>
            <w:pPr>
              <w:pStyle w:val="Compact"/>
            </w:pPr>
            <w:r>
              <w:t xml:space="preserve">unit_activated tag applied</w:t>
            </w:r>
          </w:p>
        </w:tc>
        <w:tc>
          <w:tcPr/>
          <w:p>
            <w:pPr>
              <w:pStyle w:val="Compact"/>
            </w:pPr>
            <w:r>
              <w:t xml:space="preserve">Published</w:t>
            </w:r>
          </w:p>
        </w:tc>
        <w:tc>
          <w:tcPr/>
          <w:p>
            <w:pPr>
              <w:pStyle w:val="Compact"/>
            </w:pPr>
            <w:r>
              <w:t xml:space="preserve">—</w:t>
            </w:r>
          </w:p>
        </w:tc>
      </w:tr>
      <w:tr>
        <w:tc>
          <w:tcPr/>
          <w:p>
            <w:pPr>
              <w:pStyle w:val="Compact"/>
            </w:pPr>
            <w:r>
              <w:t xml:space="preserve">WF-08 Reactivation Campaign</w:t>
            </w:r>
          </w:p>
        </w:tc>
        <w:tc>
          <w:tcPr/>
          <w:p>
            <w:pPr>
              <w:pStyle w:val="Compact"/>
            </w:pPr>
            <w:r>
              <w:t xml:space="preserve">status_cold + 60 day wait</w:t>
            </w:r>
          </w:p>
        </w:tc>
        <w:tc>
          <w:tcPr/>
          <w:p>
            <w:pPr>
              <w:pStyle w:val="Compact"/>
            </w:pPr>
            <w:r>
              <w:t xml:space="preserve">Published</w:t>
            </w:r>
          </w:p>
        </w:tc>
        <w:tc>
          <w:tcPr/>
          <w:p>
            <w:pPr>
              <w:pStyle w:val="Compact"/>
            </w:pPr>
            <w:r>
              <w:t xml:space="preserve">—</w:t>
            </w:r>
          </w:p>
        </w:tc>
      </w:tr>
      <w:tr>
        <w:tc>
          <w:tcPr/>
          <w:p>
            <w:pPr>
              <w:pStyle w:val="Compact"/>
            </w:pPr>
            <w:r>
              <w:t xml:space="preserve">WF-09 Compliance Guardian</w:t>
            </w:r>
          </w:p>
        </w:tc>
        <w:tc>
          <w:tcPr/>
          <w:p>
            <w:pPr>
              <w:pStyle w:val="Compact"/>
            </w:pPr>
            <w:r>
              <w:t xml:space="preserve">medical_claim_risk tag applied</w:t>
            </w:r>
          </w:p>
        </w:tc>
        <w:tc>
          <w:tcPr/>
          <w:p>
            <w:pPr>
              <w:pStyle w:val="Compact"/>
            </w:pPr>
            <w:r>
              <w:t xml:space="preserve">Published</w:t>
            </w:r>
          </w:p>
        </w:tc>
        <w:tc>
          <w:tcPr/>
          <w:p>
            <w:pPr>
              <w:pStyle w:val="Compact"/>
            </w:pPr>
            <w:r>
              <w:t xml:space="preserve">—</w:t>
            </w:r>
          </w:p>
        </w:tc>
      </w:tr>
      <w:tr>
        <w:tc>
          <w:tcPr/>
          <w:p>
            <w:pPr>
              <w:pStyle w:val="Compact"/>
            </w:pPr>
            <w:r>
              <w:t xml:space="preserve">WF-10 Partner Expansion Trigger</w:t>
            </w:r>
          </w:p>
        </w:tc>
        <w:tc>
          <w:tcPr/>
          <w:p>
            <w:pPr>
              <w:pStyle w:val="Compact"/>
            </w:pPr>
            <w:r>
              <w:t xml:space="preserve">Monthly scheduler 1st</w:t>
            </w:r>
          </w:p>
        </w:tc>
        <w:tc>
          <w:tcPr/>
          <w:p>
            <w:pPr>
              <w:pStyle w:val="Compact"/>
            </w:pPr>
            <w:r>
              <w:t xml:space="preserve">Published</w:t>
            </w:r>
          </w:p>
        </w:tc>
        <w:tc>
          <w:tcPr/>
          <w:p>
            <w:pPr>
              <w:pStyle w:val="Compact"/>
            </w:pPr>
            <w:r>
              <w:t xml:space="preserve">—</w:t>
            </w:r>
          </w:p>
        </w:tc>
      </w:tr>
    </w:tbl>
    <w:bookmarkEnd w:id="61"/>
    <w:bookmarkStart w:id="62" w:name="X5bc6bf71dba644c700ee4f719d5b4f05d19bbd5"/>
    <w:p>
      <w:pPr>
        <w:pStyle w:val="Heading2"/>
      </w:pPr>
      <w:r>
        <w:t xml:space="preserve">WF-11 through WF-20 (Consumer Funnel, all four magnets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Workflow</w:t>
            </w:r>
          </w:p>
        </w:tc>
        <w:tc>
          <w:tcPr/>
          <w:p>
            <w:pPr>
              <w:pStyle w:val="Compact"/>
            </w:pPr>
            <w:r>
              <w:rPr>
                <w:b/>
                <w:bCs/>
              </w:rPr>
              <w:t xml:space="preserve">Trigger</w:t>
            </w:r>
          </w:p>
        </w:tc>
        <w:tc>
          <w:tcPr/>
          <w:p>
            <w:pPr>
              <w:pStyle w:val="Compact"/>
            </w:pPr>
            <w:r>
              <w:rPr>
                <w:b/>
                <w:bCs/>
              </w:rPr>
              <w:t xml:space="preserve">Purpose</w:t>
            </w:r>
          </w:p>
        </w:tc>
        <w:tc>
          <w:tcPr/>
          <w:p>
            <w:pPr>
              <w:pStyle w:val="Compact"/>
            </w:pPr>
            <w:r>
              <w:rPr>
                <w:b/>
                <w:bCs/>
              </w:rPr>
              <w:t xml:space="preserve">Tags applied</w:t>
            </w:r>
          </w:p>
        </w:tc>
      </w:tr>
      <w:tr>
        <w:tc>
          <w:tcPr/>
          <w:p>
            <w:pPr>
              <w:pStyle w:val="Compact"/>
            </w:pPr>
            <w:r>
              <w:t xml:space="preserve">WF-11 Contact Page Router</w:t>
            </w:r>
          </w:p>
        </w:tc>
        <w:tc>
          <w:tcPr/>
          <w:p>
            <w:pPr>
              <w:pStyle w:val="Compact"/>
            </w:pPr>
            <w:r>
              <w:t xml:space="preserve">Contact-page form</w:t>
            </w:r>
          </w:p>
        </w:tc>
        <w:tc>
          <w:tcPr/>
          <w:p>
            <w:pPr>
              <w:pStyle w:val="Compact"/>
            </w:pPr>
            <w:r>
              <w:t xml:space="preserve">Route general contact-form leads</w:t>
            </w:r>
          </w:p>
        </w:tc>
        <w:tc>
          <w:tcPr/>
          <w:p>
            <w:pPr>
              <w:pStyle w:val="Compact"/>
            </w:pPr>
            <w:r>
              <w:t xml:space="preserve">type_consumer</w:t>
            </w:r>
          </w:p>
        </w:tc>
      </w:tr>
      <w:tr>
        <w:tc>
          <w:tcPr/>
          <w:p>
            <w:pPr>
              <w:pStyle w:val="Compact"/>
            </w:pPr>
            <w:r>
              <w:t xml:space="preserve">WF-12 Tired Test Capture</w:t>
            </w:r>
          </w:p>
        </w:tc>
        <w:tc>
          <w:tcPr/>
          <w:p>
            <w:pPr>
              <w:pStyle w:val="Compact"/>
            </w:pPr>
            <w:r>
              <w:t xml:space="preserve">Quiz webhook</w:t>
            </w:r>
          </w:p>
        </w:tc>
        <w:tc>
          <w:tcPr/>
          <w:p>
            <w:pPr>
              <w:pStyle w:val="Compact"/>
            </w:pPr>
            <w:r>
              <w:t xml:space="preserve">Capture Outer Ring quiz leads</w:t>
            </w:r>
          </w:p>
        </w:tc>
        <w:tc>
          <w:tcPr/>
          <w:p>
            <w:pPr>
              <w:pStyle w:val="Compact"/>
            </w:pPr>
            <w:r>
              <w:t xml:space="preserve">type_consumer, magnet_lead, drip_bypass, icp_energy_sleep</w:t>
            </w:r>
          </w:p>
        </w:tc>
      </w:tr>
      <w:tr>
        <w:tc>
          <w:tcPr/>
          <w:p>
            <w:pPr>
              <w:pStyle w:val="Compact"/>
            </w:pPr>
            <w:r>
              <w:t xml:space="preserve">WF-13 Tired Test Emails</w:t>
            </w:r>
          </w:p>
        </w:tc>
        <w:tc>
          <w:tcPr/>
          <w:p>
            <w:pPr>
              <w:pStyle w:val="Compact"/>
            </w:pPr>
            <w:r>
              <w:t xml:space="preserve">Enrolled by WF-12</w:t>
            </w:r>
          </w:p>
        </w:tc>
        <w:tc>
          <w:tcPr/>
          <w:p>
            <w:pPr>
              <w:pStyle w:val="Compact"/>
            </w:pPr>
            <w:r>
              <w:t xml:space="preserve">5-email series (single version, v2)</w:t>
            </w:r>
          </w:p>
        </w:tc>
        <w:tc>
          <w:tcPr/>
          <w:p>
            <w:pPr>
              <w:pStyle w:val="Compact"/>
            </w:pPr>
            <w:r>
              <w:t xml:space="preserve">nurture_longterm at end</w:t>
            </w:r>
          </w:p>
        </w:tc>
      </w:tr>
      <w:tr>
        <w:tc>
          <w:tcPr/>
          <w:p>
            <w:pPr>
              <w:pStyle w:val="Compact"/>
            </w:pPr>
            <w:r>
              <w:t xml:space="preserve">WF-14 Recovery Protocol Emails</w:t>
            </w:r>
          </w:p>
        </w:tc>
        <w:tc>
          <w:tcPr/>
          <w:p>
            <w:pPr>
              <w:pStyle w:val="Compact"/>
            </w:pPr>
            <w:r>
              <w:t xml:space="preserve">Enrolled by WF-18</w:t>
            </w:r>
          </w:p>
        </w:tc>
        <w:tc>
          <w:tcPr/>
          <w:p>
            <w:pPr>
              <w:pStyle w:val="Compact"/>
            </w:pPr>
            <w:r>
              <w:t xml:space="preserve">A/B, 4 emails Day 0/3/6/10</w:t>
            </w:r>
          </w:p>
        </w:tc>
        <w:tc>
          <w:tcPr/>
          <w:p>
            <w:pPr>
              <w:pStyle w:val="Compact"/>
            </w:pPr>
            <w:r>
              <w:t xml:space="preserve">nurture_longterm at end</w:t>
            </w:r>
          </w:p>
        </w:tc>
      </w:tr>
      <w:tr>
        <w:tc>
          <w:tcPr/>
          <w:p>
            <w:pPr>
              <w:pStyle w:val="Compact"/>
            </w:pPr>
            <w:r>
              <w:t xml:space="preserve">WF-15 Synthesis Gap Webhook</w:t>
            </w:r>
          </w:p>
        </w:tc>
        <w:tc>
          <w:tcPr/>
          <w:p>
            <w:pPr>
              <w:pStyle w:val="Compact"/>
            </w:pPr>
            <w:r>
              <w:t xml:space="preserve">Page webhook</w:t>
            </w:r>
          </w:p>
        </w:tc>
        <w:tc>
          <w:tcPr/>
          <w:p>
            <w:pPr>
              <w:pStyle w:val="Compact"/>
            </w:pPr>
            <w:r>
              <w:t xml:space="preserve">Capture Bullseye leads</w:t>
            </w:r>
          </w:p>
        </w:tc>
        <w:tc>
          <w:tcPr/>
          <w:p>
            <w:pPr>
              <w:pStyle w:val="Compact"/>
            </w:pPr>
            <w:r>
              <w:t xml:space="preserve">type_consumer, magnet_lead, drip_bypass, icp_stack_optimizer</w:t>
            </w:r>
          </w:p>
        </w:tc>
      </w:tr>
      <w:tr>
        <w:tc>
          <w:tcPr/>
          <w:p>
            <w:pPr>
              <w:pStyle w:val="Compact"/>
            </w:pPr>
            <w:r>
              <w:t xml:space="preserve">WF-16 Synthesis Gap Emails</w:t>
            </w:r>
          </w:p>
        </w:tc>
        <w:tc>
          <w:tcPr/>
          <w:p>
            <w:pPr>
              <w:pStyle w:val="Compact"/>
            </w:pPr>
            <w:r>
              <w:t xml:space="preserve">Enrolled by WF-15</w:t>
            </w:r>
          </w:p>
        </w:tc>
        <w:tc>
          <w:tcPr/>
          <w:p>
            <w:pPr>
              <w:pStyle w:val="Compact"/>
            </w:pPr>
            <w:r>
              <w:t xml:space="preserve">A/B series</w:t>
            </w:r>
          </w:p>
        </w:tc>
        <w:tc>
          <w:tcPr/>
          <w:p>
            <w:pPr>
              <w:pStyle w:val="Compact"/>
            </w:pPr>
            <w:r>
              <w:t xml:space="preserve">nurture_longterm at end</w:t>
            </w:r>
          </w:p>
        </w:tc>
      </w:tr>
      <w:tr>
        <w:tc>
          <w:tcPr/>
          <w:p>
            <w:pPr>
              <w:pStyle w:val="Compact"/>
            </w:pPr>
            <w:r>
              <w:t xml:space="preserve">WF-17 Long-Term Nurture</w:t>
            </w:r>
          </w:p>
        </w:tc>
        <w:tc>
          <w:tcPr/>
          <w:p>
            <w:pPr>
              <w:pStyle w:val="Compact"/>
            </w:pPr>
            <w:r>
              <w:t xml:space="preserve">nurture_longterm tag</w:t>
            </w:r>
          </w:p>
        </w:tc>
        <w:tc>
          <w:tcPr/>
          <w:p>
            <w:pPr>
              <w:pStyle w:val="Compact"/>
            </w:pPr>
            <w:r>
              <w:t xml:space="preserve">7 emails, shared by all magnet leads</w:t>
            </w:r>
          </w:p>
        </w:tc>
        <w:tc>
          <w:tcPr/>
          <w:p>
            <w:pPr>
              <w:pStyle w:val="Compact"/>
            </w:pPr>
            <w:r>
              <w:t xml:space="preserve">—</w:t>
            </w:r>
          </w:p>
        </w:tc>
      </w:tr>
      <w:tr>
        <w:tc>
          <w:tcPr/>
          <w:p>
            <w:pPr>
              <w:pStyle w:val="Compact"/>
            </w:pPr>
            <w:r>
              <w:t xml:space="preserve">WF-18 Recovery Webhook</w:t>
            </w:r>
          </w:p>
        </w:tc>
        <w:tc>
          <w:tcPr/>
          <w:p>
            <w:pPr>
              <w:pStyle w:val="Compact"/>
            </w:pPr>
            <w:r>
              <w:t xml:space="preserve">Page webhook</w:t>
            </w:r>
          </w:p>
        </w:tc>
        <w:tc>
          <w:tcPr/>
          <w:p>
            <w:pPr>
              <w:pStyle w:val="Compact"/>
            </w:pPr>
            <w:r>
              <w:t xml:space="preserve">Capture Athlete leads</w:t>
            </w:r>
          </w:p>
        </w:tc>
        <w:tc>
          <w:tcPr/>
          <w:p>
            <w:pPr>
              <w:pStyle w:val="Compact"/>
            </w:pPr>
            <w:r>
              <w:t xml:space="preserve">type_consumer, magnet_lead, drip_bypass, icp_athlete</w:t>
            </w:r>
          </w:p>
        </w:tc>
      </w:tr>
      <w:tr>
        <w:tc>
          <w:tcPr/>
          <w:p>
            <w:pPr>
              <w:pStyle w:val="Compact"/>
            </w:pPr>
            <w:r>
              <w:t xml:space="preserve">WF-19 Winter Protocol Webhook</w:t>
            </w:r>
          </w:p>
        </w:tc>
        <w:tc>
          <w:tcPr/>
          <w:p>
            <w:pPr>
              <w:pStyle w:val="Compact"/>
            </w:pPr>
            <w:r>
              <w:t xml:space="preserve">Page webhook</w:t>
            </w:r>
          </w:p>
        </w:tc>
        <w:tc>
          <w:tcPr/>
          <w:p>
            <w:pPr>
              <w:pStyle w:val="Compact"/>
            </w:pPr>
            <w:r>
              <w:t xml:space="preserve">Capture SAD leads</w:t>
            </w:r>
          </w:p>
        </w:tc>
        <w:tc>
          <w:tcPr/>
          <w:p>
            <w:pPr>
              <w:pStyle w:val="Compact"/>
            </w:pPr>
            <w:r>
              <w:t xml:space="preserve">type_consumer, source_lead_magnet, magnet_winter_protocol, status_new, icp_sad, magnet_lead, drip_bypass</w:t>
            </w:r>
          </w:p>
        </w:tc>
      </w:tr>
      <w:tr>
        <w:tc>
          <w:tcPr/>
          <w:p>
            <w:pPr>
              <w:pStyle w:val="Compact"/>
            </w:pPr>
            <w:r>
              <w:t xml:space="preserve">WF-20 Winter Protocol Emails</w:t>
            </w:r>
          </w:p>
        </w:tc>
        <w:tc>
          <w:tcPr/>
          <w:p>
            <w:pPr>
              <w:pStyle w:val="Compact"/>
            </w:pPr>
            <w:r>
              <w:t xml:space="preserve">Contact Tag (magnet_winter_protocol)</w:t>
            </w:r>
          </w:p>
        </w:tc>
        <w:tc>
          <w:tcPr/>
          <w:p>
            <w:pPr>
              <w:pStyle w:val="Compact"/>
            </w:pPr>
            <w:r>
              <w:t xml:space="preserve">3 emails, seasonal 3A/3B split</w:t>
            </w:r>
          </w:p>
        </w:tc>
        <w:tc>
          <w:tcPr/>
          <w:p>
            <w:pPr>
              <w:pStyle w:val="Compact"/>
            </w:pPr>
            <w:r>
              <w:t xml:space="preserve">nurture_longterm at end</w:t>
            </w:r>
          </w:p>
        </w:tc>
      </w:tr>
    </w:tbl>
    <w:bookmarkEnd w:id="62"/>
    <w:bookmarkStart w:id="63" w:name="X8b635a9b8e26577bc07542dc589df6fb2ab55bd"/>
    <w:p>
      <w:pPr>
        <w:pStyle w:val="Heading2"/>
      </w:pPr>
      <w:r>
        <w:t xml:space="preserve">WF-21 through WF-26 (added Sessions 9 and 10,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bookmarkEnd w:id="63"/>
    <w:bookmarkStart w:id="64" w:name="X9810ec7f62b2338d56466c983e3d36a26fc107d"/>
    <w:p>
      <w:pPr>
        <w:pStyle w:val="Heading2"/>
      </w:pPr>
      <w:r>
        <w:t xml:space="preserve">WF-30 through WF-35 (added Sessions 15 and 16)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64"/>
    <w:bookmarkStart w:id="65"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8"/>
        </w:numPr>
      </w:pPr>
      <w:r>
        <w:t xml:space="preserve">WF-12 (Tired Test): https://services.leadconnectorhq.com/hooks/GtXjla7Ld1dordsTWrVy/webhook-trigger/6c3a7c6c-f1fa-4c85-a03a-a1c42fdfb13d</w:t>
      </w:r>
    </w:p>
    <w:p>
      <w:pPr>
        <w:numPr>
          <w:ilvl w:val="0"/>
          <w:numId w:val="1008"/>
        </w:numPr>
      </w:pPr>
      <w:r>
        <w:t xml:space="preserve">WF-15 (Synthesis Gap): https://services.leadconnectorhq.com/hooks/GtXjla7Ld1dordsTWrVy/webhook-trigger/fd32493c-6ec1-4e55-9edb-75399aa53a34</w:t>
      </w:r>
    </w:p>
    <w:p>
      <w:pPr>
        <w:numPr>
          <w:ilvl w:val="0"/>
          <w:numId w:val="1008"/>
        </w:numPr>
      </w:pPr>
      <w:r>
        <w:t xml:space="preserve">WF-18 (Recovery): https://services.leadconnectorhq.com/hooks/GtXjla7Ld1dordsTWrVy/webhook-trigger/3ae538d7-81a9-42a7-9e18-5e7c8b19b84a</w:t>
      </w:r>
    </w:p>
    <w:p>
      <w:pPr>
        <w:numPr>
          <w:ilvl w:val="0"/>
          <w:numId w:val="1008"/>
        </w:numPr>
      </w:pPr>
      <w:r>
        <w:t xml:space="preserve">WF-19 (Winter Protocol): https://services.leadconnectorhq.com/hooks/GtXjla7Ld1dordsTWrVy/webhook-trigger/ad11ef02-14c8-4dbc-b1dd-bb5c9f3203bd</w:t>
      </w:r>
    </w:p>
    <w:p>
      <w:pPr>
        <w:numPr>
          <w:ilvl w:val="0"/>
          <w:numId w:val="1008"/>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65"/>
    <w:bookmarkStart w:id="66" w:name="lead-scoring-model"/>
    <w:p>
      <w:pPr>
        <w:pStyle w:val="Heading2"/>
      </w:pPr>
      <w:r>
        <w:t xml:space="preserve">Lead Scoring Model</w:t>
      </w:r>
    </w:p>
    <w:p>
      <w:pPr>
        <w:pStyle w:val="FirstParagraph"/>
      </w:pPr>
      <w:r>
        <w:t xml:space="preserve">Email Opened +6 · Appointment Confirmed +21 · Contact Reply +11 · Appointment Booked +21.</w:t>
      </w:r>
    </w:p>
    <w:bookmarkEnd w:id="66"/>
    <w:bookmarkStart w:id="68" w:name="X3c4738bc9843a482d60919c864badabe81e6734"/>
    <w:p>
      <w:pPr>
        <w:pStyle w:val="Heading2"/>
      </w:pPr>
      <w:r>
        <w:t xml:space="preserve">WF-40 through WF-43 (Dealer Deal Registration, built August 19, 2026)</w:t>
      </w:r>
    </w:p>
    <w:p>
      <w:pPr>
        <w:pStyle w:val="FirstParagraph"/>
      </w:pPr>
      <w:r>
        <w:t xml:space="preserve">The commercial dealer program. Dealers resell the $8,950 commercial unit and earn 25 to 16 percent on the final sale price. This is a different program from the facility referral arrangement in Section 19: different product, different terms, different people.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Workflow</w:t>
            </w:r>
          </w:p>
        </w:tc>
        <w:tc>
          <w:tcPr/>
          <w:p>
            <w:pPr>
              <w:pStyle w:val="Compact"/>
            </w:pPr>
            <w:r>
              <w:rPr>
                <w:b/>
                <w:bCs/>
              </w:rPr>
              <w:t xml:space="preserve">Trigger</w:t>
            </w:r>
          </w:p>
        </w:tc>
        <w:tc>
          <w:tcPr/>
          <w:p>
            <w:pPr>
              <w:pStyle w:val="Compact"/>
            </w:pPr>
            <w:r>
              <w:rPr>
                <w:b/>
                <w:bCs/>
              </w:rPr>
              <w:t xml:space="preserve">Purpose</w:t>
            </w:r>
          </w:p>
        </w:tc>
        <w:tc>
          <w:tcPr/>
          <w:p>
            <w:pPr>
              <w:pStyle w:val="Compact"/>
            </w:pPr>
            <w:r>
              <w:rPr>
                <w:b/>
                <w:bCs/>
              </w:rPr>
              <w:t xml:space="preserve">Notes</w:t>
            </w:r>
          </w:p>
        </w:tc>
      </w:tr>
      <w:tr>
        <w:tc>
          <w:tcPr/>
          <w:p>
            <w:pPr>
              <w:pStyle w:val="Compact"/>
            </w:pPr>
            <w:r>
              <w:t xml:space="preserve">WF-40 Dealer Registration Received</w:t>
            </w:r>
          </w:p>
        </w:tc>
        <w:tc>
          <w:tcPr/>
          <w:p>
            <w:pPr>
              <w:pStyle w:val="Compact"/>
            </w:pPr>
            <w:r>
              <w:t xml:space="preserve">Form is any of (one entry per dealer form)</w:t>
            </w:r>
          </w:p>
        </w:tc>
        <w:tc>
          <w:tcPr/>
          <w:p>
            <w:pPr>
              <w:pStyle w:val="Compact"/>
            </w:pPr>
            <w:r>
              <w:t xml:space="preserve">Create the opportunity, tag it, set Source Type = Dealer, apply no_route, alert Scott</w:t>
            </w:r>
          </w:p>
        </w:tc>
        <w:tc>
          <w:tcPr/>
          <w:p>
            <w:pPr>
              <w:pStyle w:val="Compact"/>
            </w:pPr>
            <w:r>
              <w:t xml:space="preserve">The trigger list is the single point of failure in the whole system. A new dealer form that is not added here fails silently: the opportunity lands in Registration Submitted with no tag, no Source Type and no alert, and the facility is not protected from consumer drip because no_route never lands. See campaigns/dealer-onboarding.md.</w:t>
            </w:r>
          </w:p>
        </w:tc>
      </w:tr>
      <w:tr>
        <w:tc>
          <w:tcPr/>
          <w:p>
            <w:pPr>
              <w:pStyle w:val="Compact"/>
            </w:pPr>
            <w:r>
              <w:t xml:space="preserve">WF-41 Dealer Registration Approved</w:t>
            </w:r>
          </w:p>
        </w:tc>
        <w:tc>
          <w:tcPr/>
          <w:p>
            <w:pPr>
              <w:pStyle w:val="Compact"/>
            </w:pPr>
            <w:r>
              <w:t xml:space="preserve">Pipeline Stage Changed, Commercial B2B Pipeline, stage Prospect (plus one further condition)</w:t>
            </w:r>
          </w:p>
        </w:tc>
        <w:tc>
          <w:tcPr/>
          <w:p>
            <w:pPr>
              <w:pStyle w:val="Compact"/>
            </w:pPr>
            <w:r>
              <w:t xml:space="preserve">Confirm the registration to the dealer, but only if the clock was actually started</w:t>
            </w:r>
          </w:p>
        </w:tc>
        <w:tc>
          <w:tcPr/>
          <w:p>
            <w:pPr>
              <w:pStyle w:val="Compact"/>
            </w:pPr>
            <w:r>
              <w:t xml:space="preserve">If/Else Has the expiry date been set? on Exclusivity Expires. Date is set branch sends Confirm registration to dealer. None branch sends an internal notification instead. This is a deliberate guard: a registration confirmed to a dealer without an expiry date is a claim with no clock, so the workflow refuses to confirm it and tells a human.</w:t>
            </w:r>
          </w:p>
        </w:tc>
      </w:tr>
      <w:tr>
        <w:tc>
          <w:tcPr/>
          <w:p>
            <w:pPr>
              <w:pStyle w:val="Compact"/>
            </w:pPr>
            <w:r>
              <w:t xml:space="preserve">WF-42 Registration Expiry</w:t>
            </w:r>
          </w:p>
        </w:tc>
        <w:tc>
          <w:tcPr/>
          <w:p>
            <w:pPr>
              <w:pStyle w:val="Compact"/>
            </w:pPr>
            <w:r>
              <w:t xml:space="preserve">Wait 76 days, then Wait 14 days, gated on Opportunity status is Open</w:t>
            </w:r>
          </w:p>
        </w:tc>
        <w:tc>
          <w:tcPr/>
          <w:p>
            <w:pPr>
              <w:pStyle w:val="Compact"/>
            </w:pPr>
            <w:r>
              <w:t xml:space="preserve">Warn before a 90 day registration lapses, then close it out</w:t>
            </w:r>
          </w:p>
        </w:tc>
        <w:tc>
          <w:tcPr/>
          <w:p>
            <w:pPr>
              <w:pStyle w:val="Compact"/>
            </w:pPr>
            <w:r>
              <w:t xml:space="preserve">Built on Wait steps rather than date reminders, because GHL date reminders are contact-only and a registration lives on the opportunity.</w:t>
            </w:r>
          </w:p>
        </w:tc>
      </w:tr>
      <w:tr>
        <w:tc>
          <w:tcPr/>
          <w:p>
            <w:pPr>
              <w:pStyle w:val="Compact"/>
            </w:pPr>
            <w:r>
              <w:t xml:space="preserve">WF-43 Dealer Commission at Close</w:t>
            </w:r>
          </w:p>
        </w:tc>
        <w:tc>
          <w:tcPr/>
          <w:p>
            <w:pPr>
              <w:pStyle w:val="Compact"/>
            </w:pPr>
            <w:r>
              <w:t xml:space="preserve">Pipeline Stage Changed, Commercial B2B Pipeline, reached Contract Signed (plus one further condition)</w:t>
            </w:r>
          </w:p>
        </w:tc>
        <w:tc>
          <w:tcPr/>
          <w:p>
            <w:pPr>
              <w:pStyle w:val="Compact"/>
            </w:pPr>
            <w:r>
              <w:t xml:space="preserve">Mark the deal Won, set the commission tier from the agreed price, alert Scott</w:t>
            </w:r>
          </w:p>
        </w:tc>
        <w:tc>
          <w:tcPr/>
          <w:p>
            <w:pPr>
              <w:pStyle w:val="Compact"/>
            </w:pPr>
            <w:r>
              <w:t xml:space="preserve">Mark as Won runs first, which is what closes the stage-versus-status gap described in Section 10. Then If/Else Which commission tier? branches on Agreed Sale Price into 25, 20 and 16 percent, each setting the tier and alerting Scott that commission is payable. The None branch is the safety net: a price below the MAP floor is flagged as below MAP, no commission is set, and Scott is alerted separately.</w:t>
            </w:r>
          </w:p>
        </w:tc>
      </w:tr>
    </w:tbl>
    <w:p>
      <w:pPr>
        <w:pStyle w:val="BodyText"/>
      </w:pPr>
      <w:r>
        <w:t xml:space="preserve">The four workflows hang off Commercial B2B pipeline stage changes. A registration arrives at Registration Submitted (WF-40). Someone works the Conflict Check stage by hand. Moving the opportunity to Prospect is what signals the registration is approved, and that stage change fires WF-41. The 90 day clock then runs while the deal works through Discovery to Negotiation, guarded by WF-42. Reaching Contract Signed fires WF-43, which marks the deal Won and sets the commission.</w:t>
      </w:r>
    </w:p>
    <w:p>
      <w:pPr>
        <w:pStyle w:val="BodyText"/>
      </w:pPr>
      <w:r>
        <w:t xml:space="preserve">Registration Submitted and Conflict Check both sit at probability 0 and are excluded from the funnel and pie charts, because a submission that has not cleared conflict is not a deal.</w:t>
      </w:r>
    </w:p>
    <w:p>
      <w:pPr>
        <w:pStyle w:val="BodyText"/>
      </w:pPr>
      <w:r>
        <w:t xml:space="preserve">Both triggers carry a second condition that is not visible in the builder summary. CONFIRM against the live account.</w:t>
      </w:r>
    </w:p>
    <w:p>
      <w:pPr>
        <w:pStyle w:val="BodyText"/>
      </w:pPr>
      <w:r>
        <w:t xml:space="preserve">Registrations run a 90 day clock. A dealer holds attribution on a named facility for 90 days from submission.</w:t>
      </w:r>
    </w:p>
    <w:p>
      <w:pPr>
        <w:pStyle w:val="BodyText"/>
      </w:pPr>
      <w:r>
        <w:rPr>
          <w:rStyle w:val="VerbatimChar"/>
          <w:b/>
          <w:bCs/>
        </w:rPr>
        <w:t xml:space="preserve">Exclusivity Expires</w:t>
      </w:r>
      <w:r>
        <w:rPr>
          <w:b/>
          <w:bCs/>
        </w:rPr>
        <w:t xml:space="preserve"> </w:t>
      </w:r>
      <w:r>
        <w:rPr>
          <w:b/>
          <w:bCs/>
        </w:rPr>
        <w:t xml:space="preserve">is set by hand at Conflict Check, and nothing automates it (confirmed 2026-08-30).</w:t>
      </w:r>
      <w:r>
        <w:t xml:space="preserve"> </w:t>
      </w:r>
      <w:r>
        <w:t xml:space="preserve">WF-41 gates the dealer confirmation on that field being populated and nothing writes it, so as originally built every registration would have stalled unconfirmed. GHL cannot compute it: the Update Opportunity date field offers a current date under</w:t>
      </w:r>
      <w:r>
        <w:t xml:space="preserve"> </w:t>
      </w:r>
      <w:r>
        <w:rPr>
          <w:rStyle w:val="VerbatimChar"/>
        </w:rPr>
        <w:t xml:space="preserve">Right now</w:t>
      </w:r>
      <w:r>
        <w:t xml:space="preserve"> </w:t>
      </w:r>
      <w:r>
        <w:t xml:space="preserve">and no offset. The rule is that whoever clears Conflict Check sets submission plus 90 days before moving the opportunity to Prospect, and WF-41’s empty check enforces it. The permanent fix is a Railway round trip, using the service that already runs abandoned checkout.</w:t>
      </w:r>
    </w:p>
    <w:p>
      <w:pPr>
        <w:pStyle w:val="BodyText"/>
      </w:pPr>
      <w:r>
        <w:rPr>
          <w:b/>
          <w:bCs/>
        </w:rPr>
        <w:t xml:space="preserve">The per-dealer form does not isolate the</w:t>
      </w:r>
      <w:r>
        <w:rPr>
          <w:b/>
          <w:bCs/>
        </w:rPr>
        <w:t xml:space="preserve"> </w:t>
      </w:r>
      <w:r>
        <w:rPr>
          <w:rStyle w:val="VerbatimChar"/>
          <w:b/>
          <w:bCs/>
        </w:rPr>
        <w:t xml:space="preserve">Dealer Name</w:t>
      </w:r>
      <w:r>
        <w:rPr>
          <w:b/>
          <w:bCs/>
        </w:rPr>
        <w:t xml:space="preserve"> </w:t>
      </w:r>
      <w:r>
        <w:rPr>
          <w:b/>
          <w:bCs/>
        </w:rPr>
        <w:t xml:space="preserve">dropdown (found 2026-08-30).</w:t>
      </w:r>
      <w:r>
        <w:t xml:space="preserve"> </w:t>
      </w:r>
      <w:r>
        <w:t xml:space="preserve">The options live on the shared</w:t>
      </w:r>
      <w:r>
        <w:t xml:space="preserve"> </w:t>
      </w:r>
      <w:r>
        <w:rPr>
          <w:rStyle w:val="VerbatimChar"/>
        </w:rPr>
        <w:t xml:space="preserve">opportunity.dealer_name</w:t>
      </w:r>
      <w:r>
        <w:t xml:space="preserve"> </w:t>
      </w:r>
      <w:r>
        <w:t xml:space="preserve">custom field, so every form bound to it shows the same list. One dealer is safe; a second exposes both. See</w:t>
      </w:r>
      <w:r>
        <w:t xml:space="preserve"> </w:t>
      </w:r>
      <w:r>
        <w:rPr>
          <w:rStyle w:val="VerbatimChar"/>
        </w:rPr>
        <w:t xml:space="preserve">campaigns/dealer-onboarding.md</w:t>
      </w:r>
      <w:r>
        <w:t xml:space="preserve"> </w:t>
      </w:r>
      <w:r>
        <w:t xml:space="preserve">before onboarding anyone else.</w:t>
      </w:r>
    </w:p>
    <w:p>
      <w:pPr>
        <w:pStyle w:val="BodyText"/>
      </w:pPr>
      <w:r>
        <w:rPr>
          <w:b/>
          <w:bCs/>
        </w:rPr>
        <w:t xml:space="preserve">WF-40 hardened 2026-08-30.</w:t>
      </w:r>
      <w:r>
        <w:t xml:space="preserve"> </w:t>
      </w:r>
      <w:r>
        <w:t xml:space="preserve">A one minute wait sits before the opportunity lookup, against the same async-write race that silently dropped FlexOffers refids on WF-31. The</w:t>
      </w:r>
      <w:r>
        <w:t xml:space="preserve"> </w:t>
      </w:r>
      <w:r>
        <w:rPr>
          <w:rStyle w:val="VerbatimChar"/>
        </w:rPr>
        <w:t xml:space="preserve">Opportunity Not Found</w:t>
      </w:r>
      <w:r>
        <w:t xml:space="preserve"> </w:t>
      </w:r>
      <w:r>
        <w:t xml:space="preserve">branch now sends an internal notification instead of ending in silence, because a miss there leaves the dealer believing they hold a claim while nobody knows the registration exists.</w:t>
      </w:r>
    </w:p>
    <w:p>
      <w:pPr>
        <w:pStyle w:val="BodyText"/>
      </w:pPr>
      <w:r>
        <w:t xml:space="preserve">Dealer confirmation email uses Send Internal Notification, not Send Email. GHL’s Send Email action can only reach the contact on the record, which on a dealer registration is the facility, not the dealer. Sending the dealer’s confirmation with Send Email delivers it to the prospect. The working build is Send Internal Notification with To User Type: Custom email and the opportunity dealer_email field inserted through the tag picker. Typing the merge field by hand is rejected as invalid; it must be inserted from the picker.</w:t>
      </w:r>
    </w:p>
    <w:p>
      <w:pPr>
        <w:pStyle w:val="BodyText"/>
      </w:pPr>
      <w:r>
        <w:t xml:space="preserve">Commission ladder, tied to the final sale price: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Commission</w:t>
            </w:r>
          </w:p>
        </w:tc>
        <w:tc>
          <w:tcPr/>
          <w:p>
            <w:pPr>
              <w:pStyle w:val="Compact"/>
            </w:pPr>
            <w:r>
              <w:rPr>
                <w:b/>
                <w:bCs/>
              </w:rPr>
              <w:t xml:space="preserve">Maximum discount off MSRP</w:t>
            </w:r>
          </w:p>
        </w:tc>
        <w:tc>
          <w:tcPr/>
          <w:p>
            <w:pPr>
              <w:pStyle w:val="Compact"/>
            </w:pPr>
            <w:r>
              <w:rPr>
                <w:b/>
                <w:bCs/>
              </w:rPr>
              <w:t xml:space="preserve">Resulting price</w:t>
            </w:r>
          </w:p>
        </w:tc>
      </w:tr>
      <w:tr>
        <w:tc>
          <w:tcPr/>
          <w:p>
            <w:pPr>
              <w:pStyle w:val="Compact"/>
            </w:pPr>
            <w:r>
              <w:t xml:space="preserve">25 percent</w:t>
            </w:r>
          </w:p>
        </w:tc>
        <w:tc>
          <w:tcPr/>
          <w:p>
            <w:pPr>
              <w:pStyle w:val="Compact"/>
            </w:pPr>
            <w:r>
              <w:t xml:space="preserve">none, sells at $8,950 MSRP</w:t>
            </w:r>
          </w:p>
        </w:tc>
        <w:tc>
          <w:tcPr/>
          <w:p>
            <w:pPr>
              <w:pStyle w:val="Compact"/>
            </w:pPr>
            <w:r>
              <w:t xml:space="preserve">$8,950</w:t>
            </w:r>
          </w:p>
        </w:tc>
      </w:tr>
      <w:tr>
        <w:tc>
          <w:tcPr/>
          <w:p>
            <w:pPr>
              <w:pStyle w:val="Compact"/>
            </w:pPr>
            <w:r>
              <w:t xml:space="preserve">20 percent</w:t>
            </w:r>
          </w:p>
        </w:tc>
        <w:tc>
          <w:tcPr/>
          <w:p>
            <w:pPr>
              <w:pStyle w:val="Compact"/>
            </w:pPr>
            <w:r>
              <w:t xml:space="preserve">$1,342.50</w:t>
            </w:r>
          </w:p>
        </w:tc>
        <w:tc>
          <w:tcPr/>
          <w:p>
            <w:pPr>
              <w:pStyle w:val="Compact"/>
            </w:pPr>
            <w:r>
              <w:t xml:space="preserve">$7,607.50</w:t>
            </w:r>
          </w:p>
        </w:tc>
      </w:tr>
      <w:tr>
        <w:tc>
          <w:tcPr/>
          <w:p>
            <w:pPr>
              <w:pStyle w:val="Compact"/>
            </w:pPr>
            <w:r>
              <w:t xml:space="preserve">16 percent</w:t>
            </w:r>
          </w:p>
        </w:tc>
        <w:tc>
          <w:tcPr/>
          <w:p>
            <w:pPr>
              <w:pStyle w:val="Compact"/>
            </w:pPr>
            <w:r>
              <w:t xml:space="preserve">$1,790.00 (MAP floor)</w:t>
            </w:r>
          </w:p>
        </w:tc>
        <w:tc>
          <w:tcPr/>
          <w:p>
            <w:pPr>
              <w:pStyle w:val="Compact"/>
            </w:pPr>
            <w:r>
              <w:t xml:space="preserve">$7,160.00</w:t>
            </w:r>
          </w:p>
        </w:tc>
      </w:tr>
    </w:tbl>
    <w:p>
      <w:pPr>
        <w:pStyle w:val="BodyText"/>
      </w:pPr>
      <w:r>
        <w:t xml:space="preserve">Commission is calculated on the actual sale price, expressed in USD, regardless of the dealer’s local currency. The program is not US-only.</w:t>
      </w:r>
    </w:p>
    <w:bookmarkStart w:id="67" w:name="X2698e74b1af9aaaf59965bb650c04f8b8dcdf99"/>
    <w:p>
      <w:pPr>
        <w:pStyle w:val="Heading3"/>
      </w:pPr>
      <w:r>
        <w:t xml:space="preserve">Opportunity Custom Fields (Dealer Registration folder, Session 17)</w:t>
      </w:r>
    </w:p>
    <w:p>
      <w:pPr>
        <w:pStyle w:val="FirstParagraph"/>
      </w:pPr>
      <w:r>
        <w:t xml:space="preserve">Held in Settings &gt; Custom Fields &gt; Opportunity &gt; Dealer Registration. These sit on the Opportunity object, not the Contact object.</w:t>
      </w:r>
    </w:p>
    <w:p>
      <w:pPr>
        <w:pStyle w:val="Compact"/>
        <w:numPr>
          <w:ilvl w:val="0"/>
          <w:numId w:val="1009"/>
        </w:numPr>
      </w:pPr>
      <w:r>
        <w:t xml:space="preserve">Dealer Name (dropdown). Attribution that decides a commission cannot be free text with three spellings of the same company.</w:t>
      </w:r>
    </w:p>
    <w:p>
      <w:pPr>
        <w:pStyle w:val="Compact"/>
        <w:numPr>
          <w:ilvl w:val="0"/>
          <w:numId w:val="1009"/>
        </w:numPr>
      </w:pPr>
      <w:r>
        <w:t xml:space="preserve">dealer_email. Feeds the confirmation notification described above.</w:t>
      </w:r>
    </w:p>
    <w:p>
      <w:pPr>
        <w:pStyle w:val="Compact"/>
        <w:numPr>
          <w:ilvl w:val="0"/>
          <w:numId w:val="1009"/>
        </w:numPr>
      </w:pPr>
      <w:r>
        <w:t xml:space="preserve">Source Type. Set to Dealer by WF-40.</w:t>
      </w:r>
    </w:p>
    <w:p>
      <w:pPr>
        <w:pStyle w:val="Compact"/>
        <w:numPr>
          <w:ilvl w:val="0"/>
          <w:numId w:val="1009"/>
        </w:numPr>
      </w:pPr>
      <w:r>
        <w:t xml:space="preserve">Exclusivity Expires (Date). The end of the 90 day registration. WF-41 refuses to confirm a registration to a dealer while this is empty.</w:t>
      </w:r>
    </w:p>
    <w:p>
      <w:pPr>
        <w:pStyle w:val="Compact"/>
        <w:numPr>
          <w:ilvl w:val="0"/>
          <w:numId w:val="1009"/>
        </w:numPr>
      </w:pPr>
      <w:r>
        <w:t xml:space="preserve">Agreed Sale Price. WF-43 branches on this to pick the commission tier.</w:t>
      </w:r>
    </w:p>
    <w:p>
      <w:pPr>
        <w:pStyle w:val="Compact"/>
        <w:numPr>
          <w:ilvl w:val="0"/>
          <w:numId w:val="1009"/>
        </w:numPr>
      </w:pPr>
      <w:r>
        <w:t xml:space="preserve">A commission tier field, set to 25, 20 or 16 percent by WF-43, plus a below MAP flag on the None branch. Exact field names: CONFIRM.</w:t>
      </w:r>
    </w:p>
    <w:p>
      <w:pPr>
        <w:pStyle w:val="Compact"/>
        <w:numPr>
          <w:ilvl w:val="0"/>
          <w:numId w:val="1009"/>
        </w:numPr>
      </w:pPr>
      <w:r>
        <w:t xml:space="preserve">Any remaining fields: CONFIRM against Settings &gt; Custom Fields &gt; Opportunity &gt; Dealer Registration.</w:t>
      </w:r>
    </w:p>
    <w:p>
      <w:pPr>
        <w:pStyle w:val="FirstParagraph"/>
      </w:pPr>
      <w:r>
        <w:t xml:space="preserve">There is one registration form per dealer, and this is deliberate. A dropdown shows every option to whoever opens it, so a single shared form would let every dealer read the full roster and infer territory coverage and network size. GHL has no hidden-field option on this form type and its forms API is forms.readonly, so this cannot be automated away inside GHL. The master form is a template: never send it to anyone and never add a real dealer name to it. Full onboarding sequence in campaigns/dealer-onboarding.md.</w:t>
      </w:r>
    </w:p>
    <w:p>
      <w:pPr>
        <w:pStyle w:val="BodyText"/>
      </w:pPr>
      <w:r>
        <w:t xml:space="preserve">Unassigned is not a dealer. It marks a registration that lost its attribution and must never be selectable on a live dealer form. An opportunity with Source Type = Dealer and Dealer Name = Unassigned is a deal nobody can be paid for, and is a fault to investigate rather than a record to leave.</w:t>
      </w:r>
    </w:p>
    <w:bookmarkEnd w:id="67"/>
    <w:bookmarkEnd w:id="68"/>
    <w:bookmarkEnd w:id="69"/>
    <w:bookmarkStart w:id="70"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Element</w:t>
            </w:r>
          </w:p>
        </w:tc>
        <w:tc>
          <w:tcPr/>
          <w:p>
            <w:pPr>
              <w:pStyle w:val="Compact"/>
            </w:pPr>
            <w:r>
              <w:rPr>
                <w:b/>
                <w:bCs/>
              </w:rPr>
              <w:t xml:space="preserve">Value</w:t>
            </w:r>
          </w:p>
        </w:tc>
      </w:tr>
      <w:tr>
        <w:tc>
          <w:tcPr/>
          <w:p>
            <w:pPr>
              <w:pStyle w:val="Compact"/>
            </w:pPr>
            <w:r>
              <w:t xml:space="preserve">Provider</w:t>
            </w:r>
          </w:p>
        </w:tc>
        <w:tc>
          <w:tcPr/>
          <w:p>
            <w:pPr>
              <w:pStyle w:val="Compact"/>
            </w:pPr>
            <w:r>
              <w:t xml:space="preserve">LeadConnector Email System (LC Email)</w:t>
            </w:r>
          </w:p>
        </w:tc>
      </w:tr>
      <w:tr>
        <w:tc>
          <w:tcPr/>
          <w:p>
            <w:pPr>
              <w:pStyle w:val="Compact"/>
            </w:pPr>
            <w:r>
              <w:t xml:space="preserve">Dedicated sending domain</w:t>
            </w:r>
          </w:p>
        </w:tc>
        <w:tc>
          <w:tcPr/>
          <w:p>
            <w:pPr>
              <w:pStyle w:val="Compact"/>
            </w:pPr>
            <w:r>
              <w:t xml:space="preserve">mg.enyrgy.com</w:t>
            </w:r>
          </w:p>
        </w:tc>
      </w:tr>
      <w:tr>
        <w:tc>
          <w:tcPr/>
          <w:p>
            <w:pPr>
              <w:pStyle w:val="Compact"/>
            </w:pPr>
            <w:r>
              <w:t xml:space="preserve">DNS</w:t>
            </w:r>
          </w:p>
        </w:tc>
        <w:tc>
          <w:tcPr/>
          <w:p>
            <w:pPr>
              <w:pStyle w:val="Compact"/>
            </w:pPr>
            <w:r>
              <w:t xml:space="preserve">Auto-configured via GoDaddy Domain Connect (SPF, DKIM, CNAME, MX verified)</w:t>
            </w:r>
          </w:p>
        </w:tc>
      </w:tr>
      <w:tr>
        <w:tc>
          <w:tcPr/>
          <w:p>
            <w:pPr>
              <w:pStyle w:val="Compact"/>
            </w:pPr>
            <w:r>
              <w:t xml:space="preserve">SSL</w:t>
            </w:r>
          </w:p>
        </w:tc>
        <w:tc>
          <w:tcPr/>
          <w:p>
            <w:pPr>
              <w:pStyle w:val="Compact"/>
            </w:pPr>
            <w:r>
              <w:t xml:space="preserve">Issued</w:t>
            </w:r>
          </w:p>
        </w:tc>
      </w:tr>
      <w:tr>
        <w:tc>
          <w:tcPr/>
          <w:p>
            <w:pPr>
              <w:pStyle w:val="Compact"/>
            </w:pPr>
            <w:r>
              <w:t xml:space="preserve">Default sender (Dedicated Header)</w:t>
            </w:r>
          </w:p>
        </w:tc>
        <w:tc>
          <w:tcPr/>
          <w:p>
            <w:pPr>
              <w:pStyle w:val="Compact"/>
            </w:pPr>
            <w:r>
              <w:t xml:space="preserve">Scott Hansbury / scott@enyrgy.com</w:t>
            </w:r>
          </w:p>
        </w:tc>
      </w:tr>
      <w:tr>
        <w:tc>
          <w:tcPr/>
          <w:p>
            <w:pPr>
              <w:pStyle w:val="Compact"/>
            </w:pPr>
            <w:r>
              <w:t xml:space="preserve">Warmup</w:t>
            </w:r>
          </w:p>
        </w:tc>
        <w:tc>
          <w:tcPr/>
          <w:p>
            <w:pPr>
              <w:pStyle w:val="Compac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70"/>
    <w:bookmarkStart w:id="79" w:name="section-14-content-rules-updated-in-v3.7"/>
    <w:p>
      <w:pPr>
        <w:pStyle w:val="Heading1"/>
      </w:pPr>
      <w:r>
        <w:t xml:space="preserve">SECTION 14: CONTENT RULES (UPDATED in v3.7)</w:t>
      </w:r>
    </w:p>
    <w:bookmarkStart w:id="71"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10"/>
        </w:numPr>
      </w:pPr>
      <w:r>
        <w:rPr>
          <w:b/>
          <w:bCs/>
        </w:rPr>
        <w:t xml:space="preserve">StorySelling OS</w:t>
      </w:r>
      <w:r>
        <w:t xml:space="preserve"> </w:t>
      </w:r>
      <w:r>
        <w:t xml:space="preserve">-&gt; NARRATIVE/story content ONLY (origin stories, testimonials, social content pulling traffic to guides).</w:t>
      </w:r>
    </w:p>
    <w:p>
      <w:pPr>
        <w:numPr>
          <w:ilvl w:val="0"/>
          <w:numId w:val="1010"/>
        </w:numPr>
      </w:pPr>
      <w:r>
        <w:rPr>
          <w:b/>
          <w:bCs/>
        </w:rPr>
        <w:t xml:space="preserve">eugene-skill / cub / copy-chief / humanize-pro</w:t>
      </w:r>
      <w:r>
        <w:t xml:space="preserve"> </w:t>
      </w:r>
      <w:r>
        <w:t xml:space="preserve">-&gt; conversion and research copy (landing pages, guides, conversion emails).</w:t>
      </w:r>
    </w:p>
    <w:p>
      <w:pPr>
        <w:numPr>
          <w:ilvl w:val="0"/>
          <w:numId w:val="1010"/>
        </w:numPr>
      </w:pPr>
      <w:r>
        <w:rPr>
          <w:b/>
          <w:bCs/>
        </w:rPr>
        <w:t xml:space="preserve">presell-sandwich</w:t>
      </w:r>
      <w:r>
        <w:t xml:space="preserve"> </w:t>
      </w:r>
      <w:r>
        <w:t xml:space="preserve">-&gt; Problem-Aware buyer copy.</w:t>
      </w:r>
    </w:p>
    <w:p>
      <w:pPr>
        <w:numPr>
          <w:ilvl w:val="0"/>
          <w:numId w:val="1010"/>
        </w:numPr>
      </w:pPr>
      <w:r>
        <w:rPr>
          <w:b/>
          <w:bCs/>
        </w:rPr>
        <w:t xml:space="preserve">offer-brief / offer-gravity</w:t>
      </w:r>
      <w:r>
        <w:t xml:space="preserve"> </w:t>
      </w:r>
      <w:r>
        <w:t xml:space="preserve">-&gt; offer framing.</w:t>
      </w:r>
    </w:p>
    <w:p>
      <w:pPr>
        <w:numPr>
          <w:ilvl w:val="0"/>
          <w:numId w:val="1010"/>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71"/>
    <w:bookmarkStart w:id="72" w:name="writing-rules"/>
    <w:p>
      <w:pPr>
        <w:pStyle w:val="Heading2"/>
      </w:pPr>
      <w:r>
        <w:t xml:space="preserve">Writing Rules</w:t>
      </w:r>
    </w:p>
    <w:p>
      <w:pPr>
        <w:numPr>
          <w:ilvl w:val="0"/>
          <w:numId w:val="1011"/>
        </w:numPr>
      </w:pPr>
      <w:r>
        <w:t xml:space="preserve">No m-dashes ever; use commas, periods, or rewrite.</w:t>
      </w:r>
    </w:p>
    <w:p>
      <w:pPr>
        <w:numPr>
          <w:ilvl w:val="0"/>
          <w:numId w:val="1011"/>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11"/>
        </w:numPr>
      </w:pPr>
      <w:r>
        <w:t xml:space="preserve">Treatments completed: 25,000+. Customers: 600+. Red light co-use: 90%.</w:t>
      </w:r>
    </w:p>
    <w:p>
      <w:pPr>
        <w:numPr>
          <w:ilvl w:val="0"/>
          <w:numId w:val="1011"/>
        </w:numPr>
      </w:pPr>
      <w:r>
        <w:t xml:space="preserve">Manufacturing / Facility: 5115 N 27th Ave, Bld 66, Phoenix, AZ 85017, Made in USA (relocated from Scottsdale; all labels, listings, and materials should reflect the new address).</w:t>
      </w:r>
    </w:p>
    <w:p>
      <w:pPr>
        <w:numPr>
          <w:ilvl w:val="0"/>
          <w:numId w:val="1011"/>
        </w:numPr>
      </w:pPr>
      <w:r>
        <w:t xml:space="preserve">Referral: $150 off referee, $100 credit referrer.</w:t>
      </w:r>
    </w:p>
    <w:p>
      <w:pPr>
        <w:numPr>
          <w:ilvl w:val="0"/>
          <w:numId w:val="1011"/>
        </w:numPr>
      </w:pPr>
      <w:r>
        <w:t xml:space="preserve">Per-session cost: $1.15 (1,300 sessions over 5 years).</w:t>
      </w:r>
    </w:p>
    <w:p>
      <w:pPr>
        <w:numPr>
          <w:ilvl w:val="0"/>
          <w:numId w:val="1011"/>
        </w:numPr>
      </w:pPr>
      <w:r>
        <w:t xml:space="preserve">Order URL: https://shop.enyrgy.com/products/uvb-light-therapy · Device Registration: https://api.enyrgy.com/</w:t>
      </w:r>
    </w:p>
    <w:bookmarkEnd w:id="72"/>
    <w:bookmarkStart w:id="73" w:name="brand-standards-new-in-v3.7-locked"/>
    <w:p>
      <w:pPr>
        <w:pStyle w:val="Heading2"/>
      </w:pPr>
      <w:r>
        <w:t xml:space="preserve">Brand Standards (NEW in v3.7, locked)</w:t>
      </w:r>
    </w:p>
    <w:p>
      <w:pPr>
        <w:numPr>
          <w:ilvl w:val="0"/>
          <w:numId w:val="1012"/>
        </w:numPr>
      </w:pPr>
      <w:r>
        <w:t xml:space="preserve">Accent: Sunrise Orange #E64C38 only (NO violet/purple/amber).</w:t>
      </w:r>
    </w:p>
    <w:p>
      <w:pPr>
        <w:numPr>
          <w:ilvl w:val="0"/>
          <w:numId w:val="1012"/>
        </w:numPr>
      </w:pPr>
      <w:r>
        <w:t xml:space="preserve">Typography: Montserrat, all weights (Bely Bold Italic unavailable -&gt; all-Montserrat).</w:t>
      </w:r>
    </w:p>
    <w:p>
      <w:pPr>
        <w:numPr>
          <w:ilvl w:val="0"/>
          <w:numId w:val="1012"/>
        </w:numPr>
      </w:pPr>
      <w:r>
        <w:t xml:space="preserve">Text: Deep Charcoal #1A1A1A. Panels: Warm Off-White #F7F4EE, Calm Beige #ECE4CF. Line #E2DBC9. Muted #6B6B66.</w:t>
      </w:r>
    </w:p>
    <w:p>
      <w:pPr>
        <w:numPr>
          <w:ilvl w:val="0"/>
          <w:numId w:val="1012"/>
        </w:numPr>
      </w:pPr>
      <w:r>
        <w:t xml:space="preserve">Approved terms: BioCalibrated Sunshine™ (personalized-dosing/skin-type angle), Triple-Pathway Advantage™.</w:t>
      </w:r>
    </w:p>
    <w:bookmarkEnd w:id="73"/>
    <w:bookmarkStart w:id="74"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74"/>
    <w:bookmarkStart w:id="75"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75"/>
    <w:bookmarkStart w:id="76" w:name="X797d2c75cb682f40ae0a7775fed78efc1f71c46"/>
    <w:p>
      <w:pPr>
        <w:pStyle w:val="Heading2"/>
      </w:pPr>
      <w:r>
        <w:t xml:space="preserve">Mechanics (NEW in v3.9.7, enforced by a gate)</w:t>
      </w:r>
    </w:p>
    <w:p>
      <w:pPr>
        <w:pStyle w:val="Compact"/>
        <w:numPr>
          <w:ilvl w:val="0"/>
          <w:numId w:val="1013"/>
        </w:numPr>
      </w:pPr>
      <w:r>
        <w:t xml:space="preserve">US English throughout. No British spellings. Added to Enyrgy_Brand_Style_Guide_v2.md section 05 after they appeared twice in client-facing drafts.</w:t>
      </w:r>
    </w:p>
    <w:p>
      <w:pPr>
        <w:pStyle w:val="Compact"/>
        <w:numPr>
          <w:ilvl w:val="0"/>
          <w:numId w:val="1013"/>
        </w:numPr>
      </w:pPr>
      <w:r>
        <w:t xml:space="preserve">Enforcement is automatic. scripts/md2docx.py checks every brand document for British spellings and em-dashes. .githooks/pre-commit blocks any commit introducing either into root-level Enyrgy_</w:t>
      </w:r>
      <w:r>
        <w:rPr>
          <w:i/>
          <w:iCs/>
        </w:rPr>
        <w:t xml:space="preserve">.md or campaigns/</w:t>
      </w:r>
      <w:r>
        <w:t xml:space="preserve">.md. Install once per clone with git config core.hooksPath .githooks. Escapes: wrap a legitimate quotation in a style-check ignore/resume comment pair, or git commit –no-verify.</w:t>
      </w:r>
    </w:p>
    <w:bookmarkEnd w:id="76"/>
    <w:bookmarkStart w:id="77" w:name="positioning-rules-new-in-v3.9.7"/>
    <w:p>
      <w:pPr>
        <w:pStyle w:val="Heading2"/>
      </w:pPr>
      <w:r>
        <w:t xml:space="preserve">Positioning Rules (NEW in v3.9.7)</w:t>
      </w:r>
    </w:p>
    <w:p>
      <w:pPr>
        <w:pStyle w:val="Compact"/>
        <w:numPr>
          <w:ilvl w:val="0"/>
          <w:numId w:val="1014"/>
        </w:numPr>
      </w:pPr>
      <w:r>
        <w:t xml:space="preserve">Never raise the tanning-bed comparison in outbound copy, even to deny it. Naming it plants it. Applied August 18 to WF-22 Touch 2 and WF-13. Answering the comparison when a prospect raises it first is permitted; introducing it is not.</w:t>
      </w:r>
    </w:p>
    <w:p>
      <w:pPr>
        <w:pStyle w:val="Compact"/>
        <w:numPr>
          <w:ilvl w:val="0"/>
          <w:numId w:val="1014"/>
        </w:numPr>
      </w:pPr>
      <w:r>
        <w:t xml:space="preserve">The app determines your skin type, it does not read it. Corrected August 13 across the Consumer Drip and the KB.</w:t>
      </w:r>
    </w:p>
    <w:p>
      <w:pPr>
        <w:pStyle w:val="Compact"/>
        <w:numPr>
          <w:ilvl w:val="0"/>
          <w:numId w:val="1014"/>
        </w:numPr>
      </w:pPr>
      <w:r>
        <w:t xml:space="preserve">Prevalence, the citable figure. In a 2023 pooled analysis of 308 population-based studies across 81 countries and 7.9 million participants aged 1 and over, 76.6 percent had serum 25(OH)D below 30 ng/mL (Cui et al., Frontiers in Nutrition 2023, PMC10064807). This supersedes the previously unsourced 77 percent figure. Three rules: below 30 is insufficiency or low status, never</w:t>
      </w:r>
      <w:r>
        <w:t xml:space="preserve"> </w:t>
      </w:r>
      <w:r>
        <w:t xml:space="preserve">“deficiency”</w:t>
      </w:r>
      <w:r>
        <w:t xml:space="preserve">; the population is global and aged 1 and over, so say</w:t>
      </w:r>
      <w:r>
        <w:t xml:space="preserve"> </w:t>
      </w:r>
      <w:r>
        <w:t xml:space="preserve">“people”</w:t>
      </w:r>
      <w:r>
        <w:t xml:space="preserve"> </w:t>
      </w:r>
      <w:r>
        <w:t xml:space="preserve">and never</w:t>
      </w:r>
      <w:r>
        <w:t xml:space="preserve"> </w:t>
      </w:r>
      <w:r>
        <w:t xml:space="preserve">“adults”</w:t>
      </w:r>
      <w:r>
        <w:t xml:space="preserve">,</w:t>
      </w:r>
      <w:r>
        <w:t xml:space="preserve"> </w:t>
      </w:r>
      <w:r>
        <w:t xml:space="preserve">“Americans”</w:t>
      </w:r>
      <w:r>
        <w:t xml:space="preserve"> </w:t>
      </w:r>
      <w:r>
        <w:t xml:space="preserve">or</w:t>
      </w:r>
      <w:r>
        <w:t xml:space="preserve"> </w:t>
      </w:r>
      <w:r>
        <w:t xml:space="preserve">“indoor”</w:t>
      </w:r>
      <w:r>
        <w:t xml:space="preserve">; and do not present it as a precise national rate. 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p>
    <w:p>
      <w:pPr>
        <w:pStyle w:val="Compact"/>
        <w:numPr>
          <w:ilvl w:val="0"/>
          <w:numId w:val="1014"/>
        </w:numPr>
      </w:pPr>
      <w:r>
        <w:t xml:space="preserve">The sunny-climate objection has its own source. Palacios and Gonzalez, J Steroid Biochem Mol Biol 2014 (PMC4018438), whose Highlights state verbatim:</w:t>
      </w:r>
      <w:r>
        <w:t xml:space="preserve"> </w:t>
      </w:r>
      <w:r>
        <w:t xml:space="preserve">“Low vitamin D status is a problem even in countries with sun exposure all year round.”</w:t>
      </w:r>
      <w:r>
        <w:t xml:space="preserve"> </w:t>
      </w:r>
      <w:r>
        <w:t xml:space="preserve">It reports no single headline figure, so it cannot source the prevalence number, and it says nothing about devices, so never present it as support for the platform itself.</w:t>
      </w:r>
    </w:p>
    <w:p>
      <w:pPr>
        <w:pStyle w:val="Compact"/>
        <w:numPr>
          <w:ilvl w:val="0"/>
          <w:numId w:val="1014"/>
        </w:numPr>
      </w:pPr>
      <w:r>
        <w:t xml:space="preserve">HSA/FSA: the only authorized phrasing is</w:t>
      </w:r>
      <w:r>
        <w:t xml:space="preserve"> </w:t>
      </w:r>
      <w:r>
        <w:t xml:space="preserve">“HSA/FSA eligible through Truemed”</w:t>
      </w:r>
      <w:r>
        <w:t xml:space="preserve">. Never explain eligibility in condition-or-treatment terms and never describe the Letter of Medical Necessity, regardless of what Truemed’s own copy blocks say. Eligibility covers the Consumer Unit only; the wall mount is excluded. The test is who the buyer of record is: an individual buying their own Consumer Unit at shop.enyrgy.com is eligible even when they arrive through a facility’s referral link, because the transaction is still consumer to Enyrgy. A facility buying units for its business is not, and neither is any membership or session fee that includes Enyrgy access. Never suggest routing a facility purchase through an individual to obtain eligibility.</w:t>
      </w:r>
    </w:p>
    <w:bookmarkEnd w:id="77"/>
    <w:bookmarkStart w:id="78" w:name="X853e0a91a1e222f2ef618e244a96dd8e18997f9"/>
    <w:p>
      <w:pPr>
        <w:pStyle w:val="Heading2"/>
      </w:pPr>
      <w:r>
        <w:t xml:space="preserve">Health Questions and Contraindications (NEW in v3.9.7)</w:t>
      </w:r>
    </w:p>
    <w:p>
      <w:pPr>
        <w:pStyle w:val="FirstParagraph"/>
      </w:pPr>
      <w:r>
        <w:t xml:space="preserve">KB Section 16 governs any conversation where a person names a health condition, an injury or a medication. It carries the contraindication list from the shipping User Manual plus the handling rules, and it is binding on every agent and every human writing outbound copy.</w:t>
      </w:r>
    </w:p>
    <w:p>
      <w:pPr>
        <w:pStyle w:val="BodyText"/>
      </w:pPr>
      <w:r>
        <w:t xml:space="preserve">The rules that matter operationally:</w:t>
      </w:r>
    </w:p>
    <w:p>
      <w:pPr>
        <w:pStyle w:val="Compact"/>
        <w:numPr>
          <w:ilvl w:val="0"/>
          <w:numId w:val="1015"/>
        </w:numPr>
      </w:pPr>
      <w:r>
        <w:t xml:space="preserve">Never clear anyone for use, and never treat absence from the contraindication list as clearance.</w:t>
      </w:r>
    </w:p>
    <w:p>
      <w:pPr>
        <w:pStyle w:val="Compact"/>
        <w:numPr>
          <w:ilvl w:val="0"/>
          <w:numId w:val="1015"/>
        </w:numPr>
      </w:pPr>
      <w:r>
        <w:t xml:space="preserve">Never send the platform’s benefit story as the answer to a health question.</w:t>
      </w:r>
    </w:p>
    <w:p>
      <w:pPr>
        <w:pStyle w:val="Compact"/>
        <w:numPr>
          <w:ilvl w:val="0"/>
          <w:numId w:val="1015"/>
        </w:numPr>
      </w:pPr>
      <w:r>
        <w:t xml:space="preserve">Do not solicit or record health details in GHL custom fields, tags or notes. Escalate instead.</w:t>
      </w:r>
    </w:p>
    <w:p>
      <w:pPr>
        <w:pStyle w:val="Compact"/>
        <w:numPr>
          <w:ilvl w:val="0"/>
          <w:numId w:val="1015"/>
        </w:numPr>
      </w:pPr>
      <w:r>
        <w:t xml:space="preserve">Escalate to Scott whenever a person names a specific condition, a medication, ongoing care, or asks for an arrangement outside a standard purchase.</w:t>
      </w:r>
    </w:p>
    <w:p>
      <w:pPr>
        <w:pStyle w:val="Compact"/>
        <w:numPr>
          <w:ilvl w:val="0"/>
          <w:numId w:val="1015"/>
        </w:numPr>
      </w:pPr>
      <w:r>
        <w:t xml:space="preserve">The contraindication list is the only standing exemption to the prohibited-words scan. It needs the word</w:t>
      </w:r>
      <w:r>
        <w:t xml:space="preserve"> </w:t>
      </w:r>
      <w:r>
        <w:t xml:space="preserve">“diagnosed”</w:t>
      </w:r>
      <w:r>
        <w:t xml:space="preserve"> </w:t>
      </w:r>
      <w:r>
        <w:t xml:space="preserve">five times, and an agent scrubbing it to pass the scan breaks the disclosure.</w:t>
      </w:r>
    </w:p>
    <w:p>
      <w:pPr>
        <w:pStyle w:val="Compact"/>
        <w:numPr>
          <w:ilvl w:val="0"/>
          <w:numId w:val="1015"/>
        </w:numPr>
      </w:pPr>
      <w:r>
        <w:t xml:space="preserve">Use on intact skin only. Sessions are taken on the torso, on unbroken healthy skin. Never pair the wound-repair research with usage instructions in the same passage.</w:t>
      </w:r>
    </w:p>
    <w:bookmarkEnd w:id="78"/>
    <w:bookmarkEnd w:id="79"/>
    <w:bookmarkStart w:id="80" w:name="section-15-approved-talking-points"/>
    <w:p>
      <w:pPr>
        <w:pStyle w:val="Heading1"/>
      </w:pPr>
      <w:r>
        <w:t xml:space="preserve">SECTION 15: APPROVED TALKING POINTS</w:t>
      </w:r>
    </w:p>
    <w:p>
      <w:pPr>
        <w:numPr>
          <w:ilvl w:val="0"/>
          <w:numId w:val="1016"/>
        </w:numPr>
      </w:pPr>
      <w:r>
        <w:t xml:space="preserve">Every human body was meant to thrive on sunlight. We just made it safe, personalized and controllable.</w:t>
      </w:r>
    </w:p>
    <w:p>
      <w:pPr>
        <w:numPr>
          <w:ilvl w:val="0"/>
          <w:numId w:val="1016"/>
        </w:numPr>
      </w:pPr>
      <w:r>
        <w:t xml:space="preserve">Restore your body’s natural response to sunlight.</w:t>
      </w:r>
    </w:p>
    <w:p>
      <w:pPr>
        <w:numPr>
          <w:ilvl w:val="0"/>
          <w:numId w:val="1016"/>
        </w:numPr>
      </w:pPr>
      <w:r>
        <w:t xml:space="preserve">Activate three biological pathways in 2-4 minutes.</w:t>
      </w:r>
    </w:p>
    <w:p>
      <w:pPr>
        <w:numPr>
          <w:ilvl w:val="0"/>
          <w:numId w:val="1016"/>
        </w:numPr>
      </w:pPr>
      <w:r>
        <w:t xml:space="preserve">25,000+ sessions with zero adverse events.</w:t>
      </w:r>
    </w:p>
    <w:p>
      <w:pPr>
        <w:numPr>
          <w:ilvl w:val="0"/>
          <w:numId w:val="1016"/>
        </w:numPr>
      </w:pPr>
      <w:r>
        <w:t xml:space="preserve">100% of clinical study participants reached optimal Vitamin D levels.</w:t>
      </w:r>
    </w:p>
    <w:p>
      <w:pPr>
        <w:numPr>
          <w:ilvl w:val="0"/>
          <w:numId w:val="1016"/>
        </w:numPr>
      </w:pPr>
      <w:r>
        <w:t xml:space="preserve">2.4x more efficient than sunlight for Vitamin D synthesis.</w:t>
      </w:r>
    </w:p>
    <w:p>
      <w:pPr>
        <w:numPr>
          <w:ilvl w:val="0"/>
          <w:numId w:val="1016"/>
        </w:numPr>
      </w:pPr>
      <w:r>
        <w:t xml:space="preserve">App-controlled, personalized MED protocol, system shuts off automatically.</w:t>
      </w:r>
    </w:p>
    <w:p>
      <w:pPr>
        <w:numPr>
          <w:ilvl w:val="0"/>
          <w:numId w:val="1016"/>
        </w:numPr>
      </w:pPr>
      <w:r>
        <w:t xml:space="preserve">Less than 1% return rate, 5-10x better than industry average.</w:t>
      </w:r>
    </w:p>
    <w:p>
      <w:pPr>
        <w:numPr>
          <w:ilvl w:val="0"/>
          <w:numId w:val="1016"/>
        </w:numPr>
      </w:pPr>
      <w:r>
        <w:t xml:space="preserve">Manufactured in Phoenix, AZ, Made in USA.</w:t>
      </w:r>
    </w:p>
    <w:p>
      <w:pPr>
        <w:numPr>
          <w:ilvl w:val="0"/>
          <w:numId w:val="1016"/>
        </w:numPr>
      </w:pPr>
      <w:r>
        <w:t xml:space="preserve">600+ customers across 5 countries.</w:t>
      </w:r>
    </w:p>
    <w:p>
      <w:pPr>
        <w:numPr>
          <w:ilvl w:val="0"/>
          <w:numId w:val="1016"/>
        </w:numPr>
      </w:pPr>
      <w:r>
        <w:t xml:space="preserve">Lumanova selected our technology to launch Luma D Light.</w:t>
      </w:r>
    </w:p>
    <w:p>
      <w:pPr>
        <w:numPr>
          <w:ilvl w:val="0"/>
          <w:numId w:val="1016"/>
        </w:numPr>
      </w:pPr>
      <w:r>
        <w:t xml:space="preserve">$2,995 consumer / $8,950 commercial.</w:t>
      </w:r>
    </w:p>
    <w:p>
      <w:pPr>
        <w:numPr>
          <w:ilvl w:val="0"/>
          <w:numId w:val="1016"/>
        </w:numPr>
      </w:pPr>
      <w:r>
        <w:t xml:space="preserve">$1.15 per session at 5 sessions/week over 5 years.</w:t>
      </w:r>
    </w:p>
    <w:p>
      <w:pPr>
        <w:numPr>
          <w:ilvl w:val="0"/>
          <w:numId w:val="1016"/>
        </w:numPr>
      </w:pPr>
      <w:r>
        <w:t xml:space="preserve">90% of our customers also use red light therapy.</w:t>
      </w:r>
    </w:p>
    <w:p>
      <w:pPr>
        <w:numPr>
          <w:ilvl w:val="0"/>
          <w:numId w:val="1016"/>
        </w:numPr>
      </w:pPr>
      <w:r>
        <w:t xml:space="preserve">Sunlight. Evolved.</w:t>
      </w:r>
    </w:p>
    <w:bookmarkEnd w:id="80"/>
    <w:bookmarkStart w:id="84" w:name="section-16-commercial-roi-model"/>
    <w:p>
      <w:pPr>
        <w:pStyle w:val="Heading1"/>
      </w:pPr>
      <w:r>
        <w:t xml:space="preserve">SECTION 16: COMMERCIAL ROI MODEL</w:t>
      </w:r>
    </w:p>
    <w:p>
      <w:pPr>
        <w:pStyle w:val="FirstParagraph"/>
      </w:pPr>
      <w:r>
        <w:t xml:space="preserve">Operators charge clients $49 to $125 per month for Enyrgy access. The rate depends on location and local clientele,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w:t>
      </w:r>
    </w:p>
    <w:p>
      <w:pPr>
        <w:pStyle w:val="BodyText"/>
      </w:pPr>
      <w:r>
        <w:t xml:space="preserve">Revenue scales with active client count.</w:t>
      </w:r>
    </w:p>
    <w:bookmarkStart w:id="81" w:name="at-49-per-month-per-client"/>
    <w:p>
      <w:pPr>
        <w:pStyle w:val="Heading2"/>
      </w:pPr>
      <w:r>
        <w:t xml:space="preserve">At $49 per month per client</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Clients</w:t>
            </w:r>
          </w:p>
        </w:tc>
        <w:tc>
          <w:tcPr/>
          <w:p>
            <w:pPr>
              <w:pStyle w:val="Compact"/>
            </w:pPr>
            <w:r>
              <w:rPr>
                <w:b/>
                <w:bCs/>
              </w:rPr>
              <w:t xml:space="preserve">Monthly Revenue</w:t>
            </w:r>
          </w:p>
        </w:tc>
        <w:tc>
          <w:tcPr/>
          <w:p>
            <w:pPr>
              <w:pStyle w:val="Compact"/>
            </w:pPr>
            <w:r>
              <w:rPr>
                <w:b/>
                <w:bCs/>
              </w:rPr>
              <w:t xml:space="preserve">Annual Revenue</w:t>
            </w:r>
          </w:p>
        </w:tc>
      </w:tr>
      <w:tr>
        <w:tc>
          <w:tcPr/>
          <w:p>
            <w:pPr>
              <w:pStyle w:val="Compact"/>
            </w:pPr>
            <w:r>
              <w:t xml:space="preserve">25</w:t>
            </w:r>
          </w:p>
        </w:tc>
        <w:tc>
          <w:tcPr/>
          <w:p>
            <w:pPr>
              <w:pStyle w:val="Compact"/>
            </w:pPr>
            <w:r>
              <w:t xml:space="preserve">$1,225</w:t>
            </w:r>
          </w:p>
        </w:tc>
        <w:tc>
          <w:tcPr/>
          <w:p>
            <w:pPr>
              <w:pStyle w:val="Compact"/>
            </w:pPr>
            <w:r>
              <w:t xml:space="preserve">$14,700</w:t>
            </w:r>
          </w:p>
        </w:tc>
      </w:tr>
      <w:tr>
        <w:tc>
          <w:tcPr/>
          <w:p>
            <w:pPr>
              <w:pStyle w:val="Compact"/>
            </w:pPr>
            <w:r>
              <w:t xml:space="preserve">50</w:t>
            </w:r>
          </w:p>
        </w:tc>
        <w:tc>
          <w:tcPr/>
          <w:p>
            <w:pPr>
              <w:pStyle w:val="Compact"/>
            </w:pPr>
            <w:r>
              <w:t xml:space="preserve">$2,450</w:t>
            </w:r>
          </w:p>
        </w:tc>
        <w:tc>
          <w:tcPr/>
          <w:p>
            <w:pPr>
              <w:pStyle w:val="Compact"/>
            </w:pPr>
            <w:r>
              <w:t xml:space="preserve">$29,400</w:t>
            </w:r>
          </w:p>
        </w:tc>
      </w:tr>
      <w:tr>
        <w:tc>
          <w:tcPr/>
          <w:p>
            <w:pPr>
              <w:pStyle w:val="Compact"/>
            </w:pPr>
            <w:r>
              <w:t xml:space="preserve">100</w:t>
            </w:r>
          </w:p>
        </w:tc>
        <w:tc>
          <w:tcPr/>
          <w:p>
            <w:pPr>
              <w:pStyle w:val="Compact"/>
            </w:pPr>
            <w:r>
              <w:t xml:space="preserve">$4,900</w:t>
            </w:r>
          </w:p>
        </w:tc>
        <w:tc>
          <w:tcPr/>
          <w:p>
            <w:pPr>
              <w:pStyle w:val="Compact"/>
            </w:pPr>
            <w:r>
              <w:t xml:space="preserve">$58,800</w:t>
            </w:r>
          </w:p>
        </w:tc>
      </w:tr>
    </w:tbl>
    <w:p>
      <w:pPr>
        <w:pStyle w:val="BodyText"/>
      </w:pPr>
      <w:r>
        <w:t xml:space="preserve">Payback at 50 clients: under 4 months against the $8,950 unit.</w:t>
      </w:r>
    </w:p>
    <w:bookmarkEnd w:id="81"/>
    <w:bookmarkStart w:id="82" w:name="at-125-per-month-per-client"/>
    <w:p>
      <w:pPr>
        <w:pStyle w:val="Heading2"/>
      </w:pPr>
      <w:r>
        <w:t xml:space="preserve">At $125 per month per client</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Clients</w:t>
            </w:r>
          </w:p>
        </w:tc>
        <w:tc>
          <w:tcPr/>
          <w:p>
            <w:pPr>
              <w:pStyle w:val="Compact"/>
            </w:pPr>
            <w:r>
              <w:rPr>
                <w:b/>
                <w:bCs/>
              </w:rPr>
              <w:t xml:space="preserve">Monthly Revenue</w:t>
            </w:r>
          </w:p>
        </w:tc>
        <w:tc>
          <w:tcPr/>
          <w:p>
            <w:pPr>
              <w:pStyle w:val="Compact"/>
            </w:pPr>
            <w:r>
              <w:rPr>
                <w:b/>
                <w:bCs/>
              </w:rPr>
              <w:t xml:space="preserve">Annual Revenue</w:t>
            </w:r>
          </w:p>
        </w:tc>
      </w:tr>
      <w:tr>
        <w:tc>
          <w:tcPr/>
          <w:p>
            <w:pPr>
              <w:pStyle w:val="Compact"/>
            </w:pPr>
            <w:r>
              <w:t xml:space="preserve">25</w:t>
            </w:r>
          </w:p>
        </w:tc>
        <w:tc>
          <w:tcPr/>
          <w:p>
            <w:pPr>
              <w:pStyle w:val="Compact"/>
            </w:pPr>
            <w:r>
              <w:t xml:space="preserve">$3,125</w:t>
            </w:r>
          </w:p>
        </w:tc>
        <w:tc>
          <w:tcPr/>
          <w:p>
            <w:pPr>
              <w:pStyle w:val="Compact"/>
            </w:pPr>
            <w:r>
              <w:t xml:space="preserve">$37,500</w:t>
            </w:r>
          </w:p>
        </w:tc>
      </w:tr>
      <w:tr>
        <w:tc>
          <w:tcPr/>
          <w:p>
            <w:pPr>
              <w:pStyle w:val="Compact"/>
            </w:pPr>
            <w:r>
              <w:t xml:space="preserve">50</w:t>
            </w:r>
          </w:p>
        </w:tc>
        <w:tc>
          <w:tcPr/>
          <w:p>
            <w:pPr>
              <w:pStyle w:val="Compact"/>
            </w:pPr>
            <w:r>
              <w:t xml:space="preserve">$6,250</w:t>
            </w:r>
          </w:p>
        </w:tc>
        <w:tc>
          <w:tcPr/>
          <w:p>
            <w:pPr>
              <w:pStyle w:val="Compact"/>
            </w:pPr>
            <w:r>
              <w:t xml:space="preserve">$75,000</w:t>
            </w:r>
          </w:p>
        </w:tc>
      </w:tr>
      <w:tr>
        <w:tc>
          <w:tcPr/>
          <w:p>
            <w:pPr>
              <w:pStyle w:val="Compact"/>
            </w:pPr>
            <w:r>
              <w:t xml:space="preserve">100</w:t>
            </w:r>
          </w:p>
        </w:tc>
        <w:tc>
          <w:tcPr/>
          <w:p>
            <w:pPr>
              <w:pStyle w:val="Compact"/>
            </w:pPr>
            <w:r>
              <w:t xml:space="preserve">$12,500</w:t>
            </w:r>
          </w:p>
        </w:tc>
        <w:tc>
          <w:tcPr/>
          <w:p>
            <w:pPr>
              <w:pStyle w:val="Compact"/>
            </w:pPr>
            <w:r>
              <w:t xml:space="preserve">$150,000</w:t>
            </w:r>
          </w:p>
        </w:tc>
      </w:tr>
    </w:tbl>
    <w:p>
      <w:pPr>
        <w:pStyle w:val="BodyText"/>
      </w:pPr>
      <w:r>
        <w:t xml:space="preserve">Payback at 50 clients: about 6 weeks.</w:t>
      </w:r>
    </w:p>
    <w:bookmarkEnd w:id="82"/>
    <w:bookmarkStart w:id="83" w:name="delivery-model"/>
    <w:p>
      <w:pPr>
        <w:pStyle w:val="Heading2"/>
      </w:pPr>
      <w:r>
        <w:t xml:space="preserve">Delivery Model</w:t>
      </w:r>
    </w:p>
    <w:p>
      <w:pPr>
        <w:pStyle w:val="FirstParagraph"/>
      </w:pPr>
      <w:r>
        <w:t xml:space="preserve">The market is moving away from per-modality add-on pricing toward membership models. Operators position Enyrgy two ways: as a draw to bring in new members, and as an incentive to upgrade existing members into a higher tier. Where a facility runs credit-based memberships, do not price Enyrgy per session against credits, because at 4 to 5 sessions a week the credit draw would consume an entire membership and crowd out higher-margin services. Price it as a flat monthly add-on that sits outside credits, or include it in a top tier as the upgrade trigger. Enyrgy’s marginal cost per session is near zero (no consumables, no practitioner, 2 to 4 minutes, app-run), unlike IV, NAD+, or practitioner-delivered services.</w:t>
      </w:r>
    </w:p>
    <w:bookmarkEnd w:id="83"/>
    <w:bookmarkEnd w:id="84"/>
    <w:bookmarkStart w:id="86" w:name="section-17-investor-offering-details"/>
    <w:p>
      <w:pPr>
        <w:pStyle w:val="Heading1"/>
      </w:pPr>
      <w:r>
        <w:t xml:space="preserve">SECTION 17: INVESTOR OFFERING DETAILS</w:t>
      </w:r>
    </w:p>
    <w:bookmarkStart w:id="85" w:name="current-valuation-new-in-v3.9.7"/>
    <w:p>
      <w:pPr>
        <w:pStyle w:val="Heading2"/>
      </w:pPr>
      <w:r>
        <w:t xml:space="preserve">Current Valuation (NEW in v3.9.7)</w:t>
      </w:r>
    </w:p>
    <w:p>
      <w:pPr>
        <w:pStyle w:val="FirstParagraph"/>
      </w:pPr>
      <w:r>
        <w:t xml:space="preserve">Current company valuation: $10M (recorded August 16, 2026). This is the company’s present valuation. It is not the basis for the conversion discount below, which discounts from an independent SEC valuation obtained at the time of conversion. Do not present $10M as a conversion price or imply the two are the same number.</w:t>
      </w:r>
    </w:p>
    <w:p>
      <w:pPr>
        <w:pStyle w:val="BodyText"/>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Item</w:t>
            </w:r>
          </w:p>
        </w:tc>
        <w:tc>
          <w:tcPr/>
          <w:p>
            <w:pPr>
              <w:pStyle w:val="Compact"/>
            </w:pPr>
            <w:r>
              <w:rPr>
                <w:b/>
                <w:bCs/>
              </w:rPr>
              <w:t xml:space="preserve">Detail</w:t>
            </w:r>
          </w:p>
        </w:tc>
      </w:tr>
      <w:tr>
        <w:tc>
          <w:tcPr/>
          <w:p>
            <w:pPr>
              <w:pStyle w:val="Compact"/>
            </w:pPr>
            <w:r>
              <w:t xml:space="preserve">Structure</w:t>
            </w:r>
          </w:p>
        </w:tc>
        <w:tc>
          <w:tcPr/>
          <w:p>
            <w:pPr>
              <w:pStyle w:val="Compact"/>
            </w:pPr>
            <w:r>
              <w:t xml:space="preserve">Private Credit, Promissory Note</w:t>
            </w:r>
          </w:p>
        </w:tc>
      </w:tr>
      <w:tr>
        <w:tc>
          <w:tcPr/>
          <w:p>
            <w:pPr>
              <w:pStyle w:val="Compact"/>
            </w:pPr>
            <w:r>
              <w:t xml:space="preserve">Total Raise</w:t>
            </w:r>
          </w:p>
        </w:tc>
        <w:tc>
          <w:tcPr/>
          <w:p>
            <w:pPr>
              <w:pStyle w:val="Compact"/>
            </w:pPr>
            <w:r>
              <w:t xml:space="preserve">$3.5M</w:t>
            </w:r>
          </w:p>
        </w:tc>
      </w:tr>
      <w:tr>
        <w:tc>
          <w:tcPr/>
          <w:p>
            <w:pPr>
              <w:pStyle w:val="Compact"/>
            </w:pPr>
            <w:r>
              <w:t xml:space="preserve">Minimum</w:t>
            </w:r>
          </w:p>
        </w:tc>
        <w:tc>
          <w:tcPr/>
          <w:p>
            <w:pPr>
              <w:pStyle w:val="Compact"/>
            </w:pPr>
            <w:r>
              <w:t xml:space="preserve">$50,000</w:t>
            </w:r>
          </w:p>
        </w:tc>
      </w:tr>
      <w:tr>
        <w:tc>
          <w:tcPr/>
          <w:p>
            <w:pPr>
              <w:pStyle w:val="Compact"/>
            </w:pPr>
            <w:r>
              <w:t xml:space="preserve">Return</w:t>
            </w:r>
          </w:p>
        </w:tc>
        <w:tc>
          <w:tcPr/>
          <w:p>
            <w:pPr>
              <w:pStyle w:val="Compact"/>
            </w:pPr>
            <w:r>
              <w:t xml:space="preserve">12% per annum</w:t>
            </w:r>
          </w:p>
        </w:tc>
      </w:tr>
      <w:tr>
        <w:tc>
          <w:tcPr/>
          <w:p>
            <w:pPr>
              <w:pStyle w:val="Compact"/>
            </w:pPr>
            <w:r>
              <w:t xml:space="preserve">Term</w:t>
            </w:r>
          </w:p>
        </w:tc>
        <w:tc>
          <w:tcPr/>
          <w:p>
            <w:pPr>
              <w:pStyle w:val="Compact"/>
            </w:pPr>
            <w:r>
              <w:t xml:space="preserve">3 years</w:t>
            </w:r>
          </w:p>
        </w:tc>
      </w:tr>
      <w:tr>
        <w:tc>
          <w:tcPr/>
          <w:p>
            <w:pPr>
              <w:pStyle w:val="Compact"/>
            </w:pPr>
            <w:r>
              <w:t xml:space="preserve">Interest</w:t>
            </w:r>
          </w:p>
        </w:tc>
        <w:tc>
          <w:tcPr/>
          <w:p>
            <w:pPr>
              <w:pStyle w:val="Compact"/>
            </w:pPr>
            <w:r>
              <w:t xml:space="preserve">Paid quarterly (postponed first 3 months)</w:t>
            </w:r>
          </w:p>
        </w:tc>
      </w:tr>
      <w:tr>
        <w:tc>
          <w:tcPr/>
          <w:p>
            <w:pPr>
              <w:pStyle w:val="Compact"/>
            </w:pPr>
            <w:r>
              <w:t xml:space="preserve">Conversion Option</w:t>
            </w:r>
          </w:p>
        </w:tc>
        <w:tc>
          <w:tcPr/>
          <w:p>
            <w:pPr>
              <w:pStyle w:val="Compact"/>
            </w:pPr>
            <w:r>
              <w:t xml:space="preserve">At investor discretion, 20% discount from independent SEC valuation</w:t>
            </w:r>
          </w:p>
        </w:tc>
      </w:tr>
      <w:tr>
        <w:tc>
          <w:tcPr/>
          <w:p>
            <w:pPr>
              <w:pStyle w:val="Compact"/>
            </w:pPr>
            <w:r>
              <w:t xml:space="preserve">Exit Target</w:t>
            </w:r>
          </w:p>
        </w:tc>
        <w:tc>
          <w:tcPr/>
          <w:p>
            <w:pPr>
              <w:pStyle w:val="Compact"/>
            </w:pPr>
            <w:r>
              <w:t xml:space="preserve">$100-150M in 5 years</w:t>
            </w:r>
          </w:p>
        </w:tc>
      </w:tr>
    </w:tbl>
    <w:bookmarkEnd w:id="85"/>
    <w:bookmarkEnd w:id="86"/>
    <w:bookmarkStart w:id="88" w:name="section-18-key-reference-data"/>
    <w:p>
      <w:pPr>
        <w:pStyle w:val="Heading1"/>
      </w:pPr>
      <w:r>
        <w:t xml:space="preserve">SECTION 18: KEY REFERENCE DATA</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Data Point</w:t>
            </w:r>
          </w:p>
        </w:tc>
        <w:tc>
          <w:tcPr/>
          <w:p>
            <w:pPr>
              <w:pStyle w:val="Compact"/>
            </w:pPr>
            <w:r>
              <w:rPr>
                <w:b/>
                <w:bCs/>
              </w:rPr>
              <w:t xml:space="preserve">Value</w:t>
            </w:r>
          </w:p>
        </w:tc>
        <w:tc>
          <w:tcPr/>
          <w:p>
            <w:pPr>
              <w:pStyle w:val="Compact"/>
            </w:pPr>
            <w:r>
              <w:rPr>
                <w:b/>
                <w:bCs/>
              </w:rPr>
              <w:t xml:space="preserve">Use In</w:t>
            </w:r>
          </w:p>
        </w:tc>
      </w:tr>
      <w:tr>
        <w:tc>
          <w:tcPr/>
          <w:p>
            <w:pPr>
              <w:pStyle w:val="Compact"/>
            </w:pPr>
            <w:r>
              <w:t xml:space="preserve">Consumer Unit MSRP</w:t>
            </w:r>
          </w:p>
        </w:tc>
        <w:tc>
          <w:tcPr/>
          <w:p>
            <w:pPr>
              <w:pStyle w:val="Compact"/>
            </w:pPr>
            <w:r>
              <w:t xml:space="preserve">$2,995</w:t>
            </w:r>
          </w:p>
        </w:tc>
        <w:tc>
          <w:tcPr/>
          <w:p>
            <w:pPr>
              <w:pStyle w:val="Compact"/>
            </w:pPr>
            <w:r>
              <w:t xml:space="preserve">All consumer content</w:t>
            </w:r>
          </w:p>
        </w:tc>
      </w:tr>
      <w:tr>
        <w:tc>
          <w:tcPr/>
          <w:p>
            <w:pPr>
              <w:pStyle w:val="Compact"/>
            </w:pPr>
            <w:r>
              <w:t xml:space="preserve">Commercial Unit MSRP</w:t>
            </w:r>
          </w:p>
        </w:tc>
        <w:tc>
          <w:tcPr/>
          <w:p>
            <w:pPr>
              <w:pStyle w:val="Compact"/>
            </w:pPr>
            <w:r>
              <w:t xml:space="preserve">$8,950</w:t>
            </w:r>
          </w:p>
        </w:tc>
        <w:tc>
          <w:tcPr/>
          <w:p>
            <w:pPr>
              <w:pStyle w:val="Compact"/>
            </w:pPr>
            <w:r>
              <w:t xml:space="preserve">All commercial content</w:t>
            </w:r>
          </w:p>
        </w:tc>
      </w:tr>
      <w:tr>
        <w:tc>
          <w:tcPr/>
          <w:p>
            <w:pPr>
              <w:pStyle w:val="Compact"/>
            </w:pPr>
            <w:r>
              <w:t xml:space="preserve">Per-session cost</w:t>
            </w:r>
          </w:p>
        </w:tc>
        <w:tc>
          <w:tcPr/>
          <w:p>
            <w:pPr>
              <w:pStyle w:val="Compact"/>
            </w:pPr>
            <w:r>
              <w:t xml:space="preserve">$1.15 (5x/week, 5 years)</w:t>
            </w:r>
          </w:p>
        </w:tc>
        <w:tc>
          <w:tcPr/>
          <w:p>
            <w:pPr>
              <w:pStyle w:val="Compact"/>
            </w:pPr>
            <w:r>
              <w:t xml:space="preserve">Consumer drip, ROI emails</w:t>
            </w:r>
          </w:p>
        </w:tc>
      </w:tr>
      <w:tr>
        <w:tc>
          <w:tcPr/>
          <w:p>
            <w:pPr>
              <w:pStyle w:val="Compact"/>
            </w:pPr>
            <w:r>
              <w:t xml:space="preserve">Treatments completed</w:t>
            </w:r>
          </w:p>
        </w:tc>
        <w:tc>
          <w:tcPr/>
          <w:p>
            <w:pPr>
              <w:pStyle w:val="Compact"/>
            </w:pPr>
            <w:r>
              <w:t xml:space="preserve">25,000+</w:t>
            </w:r>
          </w:p>
        </w:tc>
        <w:tc>
          <w:tcPr/>
          <w:p>
            <w:pPr>
              <w:pStyle w:val="Compact"/>
            </w:pPr>
            <w:r>
              <w:t xml:space="preserve">Trust/credibility messages</w:t>
            </w:r>
          </w:p>
        </w:tc>
      </w:tr>
      <w:tr>
        <w:tc>
          <w:tcPr/>
          <w:p>
            <w:pPr>
              <w:pStyle w:val="Compact"/>
            </w:pPr>
            <w:r>
              <w:t xml:space="preserve">Return rate</w:t>
            </w:r>
          </w:p>
        </w:tc>
        <w:tc>
          <w:tcPr/>
          <w:p>
            <w:pPr>
              <w:pStyle w:val="Compact"/>
            </w:pPr>
            <w:r>
              <w:t xml:space="preserve">&lt;1%</w:t>
            </w:r>
          </w:p>
        </w:tc>
        <w:tc>
          <w:tcPr/>
          <w:p>
            <w:pPr>
              <w:pStyle w:val="Compact"/>
            </w:pPr>
            <w:r>
              <w:t xml:space="preserve">Consumer objection handling</w:t>
            </w:r>
          </w:p>
        </w:tc>
      </w:tr>
      <w:tr>
        <w:tc>
          <w:tcPr/>
          <w:p>
            <w:pPr>
              <w:pStyle w:val="Compact"/>
            </w:pPr>
            <w:r>
              <w:t xml:space="preserve">Clinical study result</w:t>
            </w:r>
          </w:p>
        </w:tc>
        <w:tc>
          <w:tcPr/>
          <w:p>
            <w:pPr>
              <w:pStyle w:val="Compact"/>
            </w:pPr>
            <w:r>
              <w:t xml:space="preserve">+111% Vitamin D</w:t>
            </w:r>
          </w:p>
        </w:tc>
        <w:tc>
          <w:tcPr/>
          <w:p>
            <w:pPr>
              <w:pStyle w:val="Compact"/>
            </w:pPr>
            <w:r>
              <w:t xml:space="preserve">Consumer drip</w:t>
            </w:r>
          </w:p>
        </w:tc>
      </w:tr>
      <w:tr>
        <w:tc>
          <w:tcPr/>
          <w:p>
            <w:pPr>
              <w:pStyle w:val="Compact"/>
            </w:pPr>
            <w:r>
              <w:t xml:space="preserve">Efficiency vs. sunlight</w:t>
            </w:r>
          </w:p>
        </w:tc>
        <w:tc>
          <w:tcPr/>
          <w:p>
            <w:pPr>
              <w:pStyle w:val="Compact"/>
            </w:pPr>
            <w:r>
              <w:t xml:space="preserve">2-4 min = 2-4 hours (60x)</w:t>
            </w:r>
          </w:p>
        </w:tc>
        <w:tc>
          <w:tcPr/>
          <w:p>
            <w:pPr>
              <w:pStyle w:val="Compact"/>
            </w:pPr>
            <w:r>
              <w:t xml:space="preserve">Consumer drip</w:t>
            </w:r>
          </w:p>
        </w:tc>
      </w:tr>
      <w:tr>
        <w:tc>
          <w:tcPr/>
          <w:p>
            <w:pPr>
              <w:pStyle w:val="Compact"/>
            </w:pPr>
            <w:r>
              <w:t xml:space="preserve">Gross margin, consumer</w:t>
            </w:r>
          </w:p>
        </w:tc>
        <w:tc>
          <w:tcPr/>
          <w:p>
            <w:pPr>
              <w:pStyle w:val="Compact"/>
            </w:pPr>
            <w:r>
              <w:t xml:space="preserve">66%</w:t>
            </w:r>
          </w:p>
        </w:tc>
        <w:tc>
          <w:tcPr/>
          <w:p>
            <w:pPr>
              <w:pStyle w:val="Compact"/>
            </w:pPr>
            <w:r>
              <w:t xml:space="preserve">Investor conversations</w:t>
            </w:r>
          </w:p>
        </w:tc>
      </w:tr>
      <w:tr>
        <w:tc>
          <w:tcPr/>
          <w:p>
            <w:pPr>
              <w:pStyle w:val="Compact"/>
            </w:pPr>
            <w:r>
              <w:t xml:space="preserve">Gross margin, commercial</w:t>
            </w:r>
          </w:p>
        </w:tc>
        <w:tc>
          <w:tcPr/>
          <w:p>
            <w:pPr>
              <w:pStyle w:val="Compact"/>
            </w:pPr>
            <w:r>
              <w:t xml:space="preserve">78%</w:t>
            </w:r>
          </w:p>
        </w:tc>
        <w:tc>
          <w:tcPr/>
          <w:p>
            <w:pPr>
              <w:pStyle w:val="Compact"/>
            </w:pPr>
            <w:r>
              <w:t xml:space="preserve">Investor conversations</w:t>
            </w:r>
          </w:p>
        </w:tc>
      </w:tr>
      <w:tr>
        <w:tc>
          <w:tcPr/>
          <w:p>
            <w:pPr>
              <w:pStyle w:val="Compact"/>
            </w:pPr>
            <w:r>
              <w:t xml:space="preserve">Active OEM partner</w:t>
            </w:r>
          </w:p>
        </w:tc>
        <w:tc>
          <w:tcPr/>
          <w:p>
            <w:pPr>
              <w:pStyle w:val="Compact"/>
            </w:pPr>
            <w:r>
              <w:t xml:space="preserve">Lumanova / Luma D Light</w:t>
            </w:r>
          </w:p>
        </w:tc>
        <w:tc>
          <w:tcPr/>
          <w:p>
            <w:pPr>
              <w:pStyle w:val="Compact"/>
            </w:pPr>
            <w:r>
              <w:t xml:space="preserve">Multiple funnels</w:t>
            </w:r>
          </w:p>
        </w:tc>
      </w:tr>
      <w:tr>
        <w:tc>
          <w:tcPr/>
          <w:p>
            <w:pPr>
              <w:pStyle w:val="Compact"/>
            </w:pPr>
            <w:r>
              <w:t xml:space="preserve">Investor offering</w:t>
            </w:r>
          </w:p>
        </w:tc>
        <w:tc>
          <w:tcPr/>
          <w:p>
            <w:pPr>
              <w:pStyle w:val="Compact"/>
            </w:pPr>
            <w:r>
              <w:t xml:space="preserve">$3.5M at 12%/3yr, $50K min</w:t>
            </w:r>
          </w:p>
        </w:tc>
        <w:tc>
          <w:tcPr/>
          <w:p>
            <w:pPr>
              <w:pStyle w:val="Compact"/>
            </w:pPr>
            <w:r>
              <w:t xml:space="preserve">Investor drip Touch 7, PPM sent after intro meeting</w:t>
            </w:r>
          </w:p>
        </w:tc>
      </w:tr>
      <w:tr>
        <w:tc>
          <w:tcPr/>
          <w:p>
            <w:pPr>
              <w:pStyle w:val="Compact"/>
            </w:pPr>
            <w:r>
              <w:t xml:space="preserve">Exit target</w:t>
            </w:r>
          </w:p>
        </w:tc>
        <w:tc>
          <w:tcPr/>
          <w:p>
            <w:pPr>
              <w:pStyle w:val="Compact"/>
            </w:pPr>
            <w:r>
              <w:t xml:space="preserve">$100-150M in 5 years</w:t>
            </w:r>
          </w:p>
        </w:tc>
        <w:tc>
          <w:tcPr/>
          <w:p>
            <w:pPr>
              <w:pStyle w:val="Compact"/>
            </w:pPr>
            <w:r>
              <w:t xml:space="preserve">Investor conversations only</w:t>
            </w:r>
          </w:p>
        </w:tc>
      </w:tr>
      <w:tr>
        <w:tc>
          <w:tcPr/>
          <w:p>
            <w:pPr>
              <w:pStyle w:val="Compact"/>
            </w:pPr>
            <w:r>
              <w:t xml:space="preserve">Manufacturing / Facility</w:t>
            </w:r>
          </w:p>
        </w:tc>
        <w:tc>
          <w:tcPr/>
          <w:p>
            <w:pPr>
              <w:pStyle w:val="Compact"/>
            </w:pPr>
            <w:r>
              <w:t xml:space="preserve">5115 N 27th Ave, Bld 66, Phoenix, AZ 85017, Made in USA</w:t>
            </w:r>
          </w:p>
        </w:tc>
        <w:tc>
          <w:tcPr/>
          <w:p>
            <w:pPr>
              <w:pStyle w:val="Compact"/>
            </w:pPr>
            <w:r>
              <w:t xml:space="preserve">Consumer drip + trust</w:t>
            </w:r>
          </w:p>
        </w:tc>
      </w:tr>
      <w:tr>
        <w:tc>
          <w:tcPr/>
          <w:p>
            <w:pPr>
              <w:pStyle w:val="Compact"/>
            </w:pPr>
            <w:r>
              <w:t xml:space="preserve">Red light co-use</w:t>
            </w:r>
          </w:p>
        </w:tc>
        <w:tc>
          <w:tcPr/>
          <w:p>
            <w:pPr>
              <w:pStyle w:val="Compact"/>
            </w:pPr>
            <w:r>
              <w:t xml:space="preserve">90% of customers</w:t>
            </w:r>
          </w:p>
        </w:tc>
        <w:tc>
          <w:tcPr/>
          <w:p>
            <w:pPr>
              <w:pStyle w:val="Compact"/>
            </w:pPr>
            <w:r>
              <w:t xml:space="preserve">Consumer + commercial</w:t>
            </w:r>
          </w:p>
        </w:tc>
      </w:tr>
      <w:tr>
        <w:tc>
          <w:tcPr/>
          <w:p>
            <w:pPr>
              <w:pStyle w:val="Compact"/>
            </w:pPr>
            <w:r>
              <w:t xml:space="preserve">Referral discount</w:t>
            </w:r>
          </w:p>
        </w:tc>
        <w:tc>
          <w:tcPr/>
          <w:p>
            <w:pPr>
              <w:pStyle w:val="Compact"/>
            </w:pPr>
            <w:r>
              <w:t xml:space="preserve">$150 off referee / $100 credit referrer</w:t>
            </w:r>
          </w:p>
        </w:tc>
        <w:tc>
          <w:tcPr/>
          <w:p>
            <w:pPr>
              <w:pStyle w:val="Compact"/>
            </w:pPr>
            <w:r>
              <w:t xml:space="preserve">WF-07</w:t>
            </w:r>
          </w:p>
        </w:tc>
      </w:tr>
    </w:tbl>
    <w:bookmarkStart w:id="87" w:name="added-since-v3.9.6"/>
    <w:p>
      <w:pPr>
        <w:pStyle w:val="Heading2"/>
      </w:pPr>
      <w:r>
        <w:t xml:space="preserve">Added Since v3.9.6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Data Point</w:t>
            </w:r>
          </w:p>
        </w:tc>
        <w:tc>
          <w:tcPr/>
          <w:p>
            <w:pPr>
              <w:pStyle w:val="Compact"/>
            </w:pPr>
            <w:r>
              <w:rPr>
                <w:b/>
                <w:bCs/>
              </w:rPr>
              <w:t xml:space="preserve">Value</w:t>
            </w:r>
          </w:p>
        </w:tc>
        <w:tc>
          <w:tcPr/>
          <w:p>
            <w:pPr>
              <w:pStyle w:val="Compact"/>
            </w:pPr>
            <w:r>
              <w:rPr>
                <w:b/>
                <w:bCs/>
              </w:rPr>
              <w:t xml:space="preserve">Use In</w:t>
            </w:r>
          </w:p>
        </w:tc>
      </w:tr>
      <w:tr>
        <w:tc>
          <w:tcPr/>
          <w:p>
            <w:pPr>
              <w:pStyle w:val="Compact"/>
            </w:pPr>
            <w:r>
              <w:t xml:space="preserve">Current company valuation</w:t>
            </w:r>
          </w:p>
        </w:tc>
        <w:tc>
          <w:tcPr/>
          <w:p>
            <w:pPr>
              <w:pStyle w:val="Compact"/>
            </w:pPr>
            <w:r>
              <w:t xml:space="preserve">$10M (Aug 16, 2026)</w:t>
            </w:r>
          </w:p>
        </w:tc>
        <w:tc>
          <w:tcPr/>
          <w:p>
            <w:pPr>
              <w:pStyle w:val="Compact"/>
            </w:pPr>
            <w:r>
              <w:t xml:space="preserve">Investor conversations. Never as the conversion price.</w:t>
            </w:r>
          </w:p>
        </w:tc>
      </w:tr>
      <w:tr>
        <w:tc>
          <w:tcPr/>
          <w:p>
            <w:pPr>
              <w:pStyle w:val="Compact"/>
            </w:pPr>
            <w:r>
              <w:t xml:space="preserve">Prevalence, low vitamin D</w:t>
            </w:r>
          </w:p>
        </w:tc>
        <w:tc>
          <w:tcPr/>
          <w:p>
            <w:pPr>
              <w:pStyle w:val="Compact"/>
            </w:pPr>
            <w:r>
              <w:t xml:space="preserve">76.6 percent of people below 30 ng/mL (Cui 2023)</w:t>
            </w:r>
          </w:p>
        </w:tc>
        <w:tc>
          <w:tcPr/>
          <w:p>
            <w:pPr>
              <w:pStyle w:val="Compact"/>
            </w:pPr>
            <w:r>
              <w:t xml:space="preserve">All funnels. Supersedes the unsourced 77 percent.</w:t>
            </w:r>
          </w:p>
        </w:tc>
      </w:tr>
      <w:tr>
        <w:tc>
          <w:tcPr/>
          <w:p>
            <w:pPr>
              <w:pStyle w:val="Compact"/>
            </w:pPr>
            <w:r>
              <w:t xml:space="preserve">Facility referral commission</w:t>
            </w:r>
          </w:p>
        </w:tc>
        <w:tc>
          <w:tcPr/>
          <w:p>
            <w:pPr>
              <w:pStyle w:val="Compact"/>
            </w:pPr>
            <w:r>
              <w:t xml:space="preserve">$600 per Consumer Unit sale</w:t>
            </w:r>
          </w:p>
        </w:tc>
        <w:tc>
          <w:tcPr/>
          <w:p>
            <w:pPr>
              <w:pStyle w:val="Compact"/>
            </w:pPr>
            <w:r>
              <w:t xml:space="preserve">Commercial Drip Touch 7. Escalate terms to Scott.</w:t>
            </w:r>
          </w:p>
        </w:tc>
      </w:tr>
      <w:tr>
        <w:tc>
          <w:tcPr/>
          <w:p>
            <w:pPr>
              <w:pStyle w:val="Compact"/>
            </w:pPr>
            <w:r>
              <w:t xml:space="preserve">Dealer commission ladder</w:t>
            </w:r>
          </w:p>
        </w:tc>
        <w:tc>
          <w:tcPr/>
          <w:p>
            <w:pPr>
              <w:pStyle w:val="Compact"/>
            </w:pPr>
            <w:r>
              <w:t xml:space="preserve">25 / 20 / 16 percent on final sale price</w:t>
            </w:r>
          </w:p>
        </w:tc>
        <w:tc>
          <w:tcPr/>
          <w:p>
            <w:pPr>
              <w:pStyle w:val="Compact"/>
            </w:pPr>
            <w:r>
              <w:t xml:space="preserve">Dealer program only, see Section 12</w:t>
            </w:r>
          </w:p>
        </w:tc>
      </w:tr>
      <w:tr>
        <w:tc>
          <w:tcPr/>
          <w:p>
            <w:pPr>
              <w:pStyle w:val="Compact"/>
            </w:pPr>
            <w:r>
              <w:t xml:space="preserve">Commercial unit footprint</w:t>
            </w:r>
          </w:p>
        </w:tc>
        <w:tc>
          <w:tcPr/>
          <w:p>
            <w:pPr>
              <w:pStyle w:val="Compact"/>
            </w:pPr>
            <w:r>
              <w:t xml:space="preserve">approximately 4 ft by 4 ft</w:t>
            </w:r>
          </w:p>
        </w:tc>
        <w:tc>
          <w:tcPr/>
          <w:p>
            <w:pPr>
              <w:pStyle w:val="Compact"/>
            </w:pPr>
            <w:r>
              <w:t xml:space="preserve">First practical objection a facility raises</w:t>
            </w:r>
          </w:p>
        </w:tc>
      </w:tr>
      <w:tr>
        <w:tc>
          <w:tcPr/>
          <w:p>
            <w:pPr>
              <w:pStyle w:val="Compact"/>
            </w:pPr>
            <w:r>
              <w:t xml:space="preserve">Commercial client pricing</w:t>
            </w:r>
          </w:p>
        </w:tc>
        <w:tc>
          <w:tcPr/>
          <w:p>
            <w:pPr>
              <w:pStyle w:val="Compact"/>
            </w:pPr>
            <w:r>
              <w:t xml:space="preserve">$49 to $125 per month per client, set by market</w:t>
            </w:r>
          </w:p>
        </w:tc>
        <w:tc>
          <w:tcPr/>
          <w:p>
            <w:pPr>
              <w:pStyle w:val="Compact"/>
            </w:pPr>
            <w:r>
              <w:t xml:space="preserve">Commercial funnel</w:t>
            </w:r>
          </w:p>
        </w:tc>
      </w:tr>
      <w:tr>
        <w:tc>
          <w:tcPr/>
          <w:p>
            <w:pPr>
              <w:pStyle w:val="Compact"/>
            </w:pPr>
            <w:r>
              <w:t xml:space="preserve">Founder track record</w:t>
            </w:r>
          </w:p>
        </w:tc>
        <w:tc>
          <w:tcPr/>
          <w:p>
            <w:pPr>
              <w:pStyle w:val="Compact"/>
            </w:pPr>
            <w:r>
              <w:t xml:space="preserve">Five exits from eight previous startups, $500M+; plus eleven M&amp;A transactions led, $249M</w:t>
            </w:r>
          </w:p>
        </w:tc>
        <w:tc>
          <w:tcPr/>
          <w:p>
            <w:pPr>
              <w:pStyle w:val="Compact"/>
            </w:pPr>
            <w:r>
              <w:t xml:space="preserve">Investor conversations. State the two figures separately, never combine.</w:t>
            </w:r>
          </w:p>
        </w:tc>
      </w:tr>
      <w:tr>
        <w:tc>
          <w:tcPr/>
          <w:p>
            <w:pPr>
              <w:pStyle w:val="Compact"/>
            </w:pPr>
            <w:r>
              <w:t xml:space="preserve">HSA/FSA</w:t>
            </w:r>
          </w:p>
        </w:tc>
        <w:tc>
          <w:tcPr/>
          <w:p>
            <w:pPr>
              <w:pStyle w:val="Compact"/>
            </w:pPr>
            <w:r>
              <w:t xml:space="preserve">“HSA/FSA eligible through Truemed”</w:t>
            </w:r>
            <w:r>
              <w:t xml:space="preserve">, Consumer Unit only</w:t>
            </w:r>
          </w:p>
        </w:tc>
        <w:tc>
          <w:tcPr/>
          <w:p>
            <w:pPr>
              <w:pStyle w:val="Compact"/>
            </w:pPr>
            <w:r>
              <w:t xml:space="preserve">Consumer funnel, see Section 14</w:t>
            </w:r>
          </w:p>
        </w:tc>
      </w:tr>
    </w:tbl>
    <w:bookmarkEnd w:id="87"/>
    <w:bookmarkEnd w:id="88"/>
    <w:bookmarkStart w:id="92" w:name="X17ff4415c04741fc8a2aa7a70f1e07a23764a6c"/>
    <w:p>
      <w:pPr>
        <w:pStyle w:val="Heading1"/>
      </w:pPr>
      <w:r>
        <w:t xml:space="preserve">SECTION 19: OEM / WHITE-LABEL PARTNER PROGRAM</w:t>
      </w:r>
    </w:p>
    <w:bookmarkStart w:id="89" w:name="current-partner-lumanova-luma-d-light"/>
    <w:p>
      <w:pPr>
        <w:pStyle w:val="Heading2"/>
      </w:pPr>
      <w:r>
        <w:t xml:space="preserve">Current Partner, Lumanova / Luma D Light</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Attribute</w:t>
            </w:r>
          </w:p>
        </w:tc>
        <w:tc>
          <w:tcPr/>
          <w:p>
            <w:pPr>
              <w:pStyle w:val="Compact"/>
            </w:pPr>
            <w:r>
              <w:rPr>
                <w:b/>
                <w:bCs/>
              </w:rPr>
              <w:t xml:space="preserve">Details</w:t>
            </w:r>
          </w:p>
        </w:tc>
      </w:tr>
      <w:tr>
        <w:tc>
          <w:tcPr/>
          <w:p>
            <w:pPr>
              <w:pStyle w:val="Compact"/>
            </w:pPr>
            <w:r>
              <w:t xml:space="preserve">Partner Name</w:t>
            </w:r>
          </w:p>
        </w:tc>
        <w:tc>
          <w:tcPr/>
          <w:p>
            <w:pPr>
              <w:pStyle w:val="Compact"/>
            </w:pPr>
            <w:r>
              <w:t xml:space="preserve">Lumanova</w:t>
            </w:r>
          </w:p>
        </w:tc>
      </w:tr>
      <w:tr>
        <w:tc>
          <w:tcPr/>
          <w:p>
            <w:pPr>
              <w:pStyle w:val="Compact"/>
            </w:pPr>
            <w:r>
              <w:t xml:space="preserve">Product Brand</w:t>
            </w:r>
          </w:p>
        </w:tc>
        <w:tc>
          <w:tcPr/>
          <w:p>
            <w:pPr>
              <w:pStyle w:val="Compact"/>
            </w:pPr>
            <w:r>
              <w:t xml:space="preserve">Luma D Light</w:t>
            </w:r>
          </w:p>
        </w:tc>
      </w:tr>
      <w:tr>
        <w:tc>
          <w:tcPr/>
          <w:p>
            <w:pPr>
              <w:pStyle w:val="Compact"/>
            </w:pPr>
            <w:r>
              <w:t xml:space="preserve">Pricing</w:t>
            </w:r>
          </w:p>
        </w:tc>
        <w:tc>
          <w:tcPr/>
          <w:p>
            <w:pPr>
              <w:pStyle w:val="Compact"/>
            </w:pPr>
            <w:r>
              <w:t xml:space="preserve">Same MSRP as Enyrgy: $2,995 / $8,950</w:t>
            </w:r>
          </w:p>
        </w:tc>
      </w:tr>
      <w:tr>
        <w:tc>
          <w:tcPr/>
          <w:p>
            <w:pPr>
              <w:pStyle w:val="Compact"/>
            </w:pPr>
            <w:r>
              <w:t xml:space="preserve">Status</w:t>
            </w:r>
          </w:p>
        </w:tc>
        <w:tc>
          <w:tcPr/>
          <w:p>
            <w:pPr>
              <w:pStyle w:val="Compact"/>
            </w:pPr>
            <w:r>
              <w:t xml:space="preserve">Active</w:t>
            </w:r>
          </w:p>
        </w:tc>
      </w:tr>
      <w:tr>
        <w:tc>
          <w:tcPr/>
          <w:p>
            <w:pPr>
              <w:pStyle w:val="Compact"/>
            </w:pPr>
            <w:r>
              <w:t xml:space="preserve">Arrangement</w:t>
            </w:r>
          </w:p>
        </w:tc>
        <w:tc>
          <w:tcPr/>
          <w:p>
            <w:pPr>
              <w:pStyle w:val="Compact"/>
            </w:pPr>
            <w:r>
              <w:t xml:space="preserve">OEM white-label; Lumanova sells under their brand, Enyrgy manufactures</w:t>
            </w:r>
          </w:p>
        </w:tc>
      </w:tr>
      <w:tr>
        <w:tc>
          <w:tcPr/>
          <w:p>
            <w:pPr>
              <w:pStyle w:val="Compact"/>
            </w:pPr>
            <w:r>
              <w:t xml:space="preserve">Exclusivity</w:t>
            </w:r>
          </w:p>
        </w:tc>
        <w:tc>
          <w:tcPr/>
          <w:p>
            <w:pPr>
              <w:pStyle w:val="Compact"/>
            </w:pPr>
            <w:r>
              <w:t xml:space="preserve">Black Unit</w:t>
            </w:r>
          </w:p>
        </w:tc>
      </w:tr>
      <w:tr>
        <w:tc>
          <w:tcPr/>
          <w:p>
            <w:pPr>
              <w:pStyle w:val="Compact"/>
            </w:pPr>
            <w:r>
              <w:t xml:space="preserve">GHL Tags</w:t>
            </w:r>
          </w:p>
        </w:tc>
        <w:tc>
          <w:tcPr/>
          <w:p>
            <w:pPr>
              <w:pStyle w:val="Compact"/>
            </w:pPr>
            <w:r>
              <w:t xml:space="preserve">type_partner + source_oem_lumanova + partnership_status active</w:t>
            </w:r>
          </w:p>
        </w:tc>
      </w:tr>
    </w:tbl>
    <w:bookmarkEnd w:id="89"/>
    <w:bookmarkStart w:id="90"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90"/>
    <w:bookmarkStart w:id="91" w:name="Xe97f213ef24a17b9a85023ee76259dc841219c4"/>
    <w:p>
      <w:pPr>
        <w:pStyle w:val="Heading2"/>
      </w:pPr>
      <w:r>
        <w:t xml:space="preserve">Facility Referral Arrangement (NEW in v3.9.7)</w:t>
      </w:r>
    </w:p>
    <w:p>
      <w:pPr>
        <w:pStyle w:val="FirstParagraph"/>
      </w:pPr>
      <w:r>
        <w:t xml:space="preserve">Distinct from the dealer program in Section 12: different product, different terms, different people. A facility refers its own clients to buy the Consumer Unit at shop.enyrgy.com and earns $600 per Consumer Unit sale. Because the transaction is still consumer to Enyrgy, an individual buying through a facility referral link remains HSA/FSA eligible (see Section 14). Referenced in Commercial Drip Touch 7. Escalate any variation on the standard terms to Scott. Specific mechanics (attribution method and payout cadence): CONFIRM.</w:t>
      </w:r>
    </w:p>
    <w:bookmarkEnd w:id="91"/>
    <w:bookmarkEnd w:id="92"/>
    <w:bookmarkStart w:id="96"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93"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Ring</w:t>
            </w:r>
          </w:p>
        </w:tc>
        <w:tc>
          <w:tcPr/>
          <w:p>
            <w:pPr>
              <w:pStyle w:val="Compact"/>
            </w:pPr>
            <w:r>
              <w:rPr>
                <w:b/>
                <w:bCs/>
              </w:rPr>
              <w:t xml:space="preserve">ICP</w:t>
            </w:r>
          </w:p>
        </w:tc>
        <w:tc>
          <w:tcPr/>
          <w:p>
            <w:pPr>
              <w:pStyle w:val="Compact"/>
            </w:pPr>
            <w:r>
              <w:rPr>
                <w:b/>
                <w:bCs/>
              </w:rPr>
              <w:t xml:space="preserve">Magnet</w:t>
            </w:r>
          </w:p>
        </w:tc>
        <w:tc>
          <w:tcPr/>
          <w:p>
            <w:pPr>
              <w:pStyle w:val="Compact"/>
            </w:pPr>
            <w:r>
              <w:rPr>
                <w:b/>
                <w:bCs/>
              </w:rPr>
              <w:t xml:space="preserve">Entry</w:t>
            </w:r>
          </w:p>
        </w:tc>
        <w:tc>
          <w:tcPr/>
          <w:p>
            <w:pPr>
              <w:pStyle w:val="Compact"/>
            </w:pPr>
            <w:r>
              <w:rPr>
                <w:b/>
                <w:bCs/>
              </w:rPr>
              <w:t xml:space="preserve">Status</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Live</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Live</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Live</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Live</w:t>
            </w:r>
          </w:p>
        </w:tc>
      </w:tr>
      <w:tr>
        <w:tc>
          <w:tcPr/>
          <w:p>
            <w:pPr>
              <w:pStyle w:val="Compact"/>
            </w:pPr>
            <w:r>
              <w:t xml:space="preserve">Everyone else</w:t>
            </w:r>
          </w:p>
        </w:tc>
        <w:tc>
          <w:tcPr/>
          <w:p>
            <w:pPr>
              <w:pStyle w:val="Compact"/>
            </w:pPr>
            <w:r>
              <w:t xml:space="preserve">(all others)</w:t>
            </w:r>
          </w:p>
        </w:tc>
        <w:tc>
          <w:tcPr/>
          <w:p>
            <w:pPr>
              <w:pStyle w:val="Compact"/>
            </w:pPr>
            <w:r>
              <w:t xml:space="preserve">contact-form leads</w:t>
            </w:r>
          </w:p>
        </w:tc>
        <w:tc>
          <w:tcPr/>
          <w:p>
            <w:pPr>
              <w:pStyle w:val="Compact"/>
            </w:pPr>
            <w:r>
              <w:t xml:space="preserve">contact form</w:t>
            </w:r>
          </w:p>
        </w:tc>
        <w:tc>
          <w:tcPr/>
          <w:p>
            <w:pPr>
              <w:pStyle w:val="Compact"/>
            </w:pPr>
            <w:r>
              <w:t xml:space="preserve">Consumer Drip</w:t>
            </w:r>
          </w:p>
        </w:tc>
      </w:tr>
    </w:tbl>
    <w:bookmarkEnd w:id="93"/>
    <w:bookmarkStart w:id="94"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94"/>
    <w:bookmarkStart w:id="95" w:name="X381182024df858e43a1c7682279a9e1b008a029"/>
    <w:p>
      <w:pPr>
        <w:pStyle w:val="Heading2"/>
      </w:pPr>
      <w:r>
        <w:t xml:space="preserve">Commercial, Investor, Partner/Vendor Channels</w:t>
      </w:r>
    </w:p>
    <w:p>
      <w:pPr>
        <w:numPr>
          <w:ilvl w:val="0"/>
          <w:numId w:val="1017"/>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7"/>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7"/>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95"/>
    <w:bookmarkEnd w:id="96"/>
    <w:bookmarkStart w:id="97"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97"/>
    <w:bookmarkStart w:id="102" w:name="section-22-client-type-playbooks"/>
    <w:p>
      <w:pPr>
        <w:pStyle w:val="Heading1"/>
      </w:pPr>
      <w:r>
        <w:t xml:space="preserve">SECTION 22: CLIENT TYPE PLAYBOOKS</w:t>
      </w:r>
    </w:p>
    <w:bookmarkStart w:id="98" w:name="consumer-playbook-discovery-questions"/>
    <w:p>
      <w:pPr>
        <w:pStyle w:val="Heading2"/>
      </w:pPr>
      <w:r>
        <w:t xml:space="preserve">Consumer Playbook, Discovery Questions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Question</w:t>
            </w:r>
          </w:p>
        </w:tc>
        <w:tc>
          <w:tcPr/>
          <w:p>
            <w:pPr>
              <w:pStyle w:val="Compact"/>
            </w:pPr>
            <w:r>
              <w:rPr>
                <w:b/>
                <w:bCs/>
              </w:rPr>
              <w:t xml:space="preserve">Field</w:t>
            </w:r>
          </w:p>
        </w:tc>
        <w:tc>
          <w:tcPr/>
          <w:p>
            <w:pPr>
              <w:pStyle w:val="Compact"/>
            </w:pPr>
            <w:r>
              <w:rPr>
                <w:b/>
                <w:bCs/>
              </w:rPr>
              <w:t xml:space="preserve">Routing</w:t>
            </w:r>
          </w:p>
        </w:tc>
      </w:tr>
      <w:tr>
        <w:tc>
          <w:tcPr/>
          <w:p>
            <w:pPr>
              <w:pStyle w:val="Compact"/>
            </w:pPr>
            <w:r>
              <w:t xml:space="preserve">Vitamin D tested recently?</w:t>
            </w:r>
          </w:p>
        </w:tc>
        <w:tc>
          <w:tcPr/>
          <w:p>
            <w:pPr>
              <w:pStyle w:val="Compact"/>
            </w:pPr>
            <w:r>
              <w:t xml:space="preserve">vitamin_d_deficient_self_reported</w:t>
            </w:r>
          </w:p>
        </w:tc>
        <w:tc>
          <w:tcPr/>
          <w:p>
            <w:pPr>
              <w:pStyle w:val="Compact"/>
            </w:pPr>
            <w:r>
              <w:t xml:space="preserve">Below 40 ng/mL -&gt; high urgency; Unknown -&gt; test kit link</w:t>
            </w:r>
          </w:p>
        </w:tc>
      </w:tr>
      <w:tr>
        <w:tc>
          <w:tcPr/>
          <w:p>
            <w:pPr>
              <w:pStyle w:val="Compact"/>
            </w:pPr>
            <w:r>
              <w:t xml:space="preserve">Currently using for Vitamin D?</w:t>
            </w:r>
          </w:p>
        </w:tc>
        <w:tc>
          <w:tcPr/>
          <w:p>
            <w:pPr>
              <w:pStyle w:val="Compact"/>
            </w:pPr>
            <w:r>
              <w:t xml:space="preserve">current_solution</w:t>
            </w:r>
          </w:p>
        </w:tc>
        <w:tc>
          <w:tcPr/>
          <w:p>
            <w:pPr>
              <w:pStyle w:val="Compact"/>
            </w:pPr>
            <w:r>
              <w:t xml:space="preserve">Supplements -&gt; absorption advantage; Red light -&gt; complementary (90% use both)</w:t>
            </w:r>
          </w:p>
        </w:tc>
      </w:tr>
      <w:tr>
        <w:tc>
          <w:tcPr/>
          <w:p>
            <w:pPr>
              <w:pStyle w:val="Compact"/>
            </w:pPr>
            <w:r>
              <w:t xml:space="preserve">Main health goal?</w:t>
            </w:r>
          </w:p>
        </w:tc>
        <w:tc>
          <w:tcPr/>
          <w:p>
            <w:pPr>
              <w:pStyle w:val="Compact"/>
            </w:pPr>
            <w:r>
              <w:t xml:space="preserve">health_goal</w:t>
            </w:r>
          </w:p>
        </w:tc>
        <w:tc>
          <w:tcPr/>
          <w:p>
            <w:pPr>
              <w:pStyle w:val="Compact"/>
            </w:pPr>
            <w:r>
              <w:t xml:space="preserve">Routes to drip variant; personalizes messaging</w:t>
            </w:r>
          </w:p>
        </w:tc>
      </w:tr>
      <w:tr>
        <w:tc>
          <w:tcPr/>
          <w:p>
            <w:pPr>
              <w:pStyle w:val="Compact"/>
            </w:pPr>
            <w:r>
              <w:t xml:space="preserve">Skin tone (Fitzpatrick I-VI)?</w:t>
            </w:r>
          </w:p>
        </w:tc>
        <w:tc>
          <w:tcPr/>
          <w:p>
            <w:pPr>
              <w:pStyle w:val="Compact"/>
            </w:pPr>
            <w:r>
              <w:t xml:space="preserve">skin_type_fitzpatrick</w:t>
            </w:r>
          </w:p>
        </w:tc>
        <w:tc>
          <w:tcPr/>
          <w:p>
            <w:pPr>
              <w:pStyle w:val="Compact"/>
            </w:pPr>
            <w:r>
              <w:t xml:space="preserve">Sets MED protocol expectations</w:t>
            </w:r>
          </w:p>
        </w:tc>
      </w:tr>
      <w:tr>
        <w:tc>
          <w:tcPr/>
          <w:p>
            <w:pPr>
              <w:pStyle w:val="Compact"/>
            </w:pPr>
            <w:r>
              <w:t xml:space="preserve">Personal, family, or gift?</w:t>
            </w:r>
          </w:p>
        </w:tc>
        <w:tc>
          <w:tcPr/>
          <w:p>
            <w:pPr>
              <w:pStyle w:val="Compact"/>
            </w:pPr>
            <w:r>
              <w:t xml:space="preserve">use_case</w:t>
            </w:r>
          </w:p>
        </w:tc>
        <w:tc>
          <w:tcPr/>
          <w:p>
            <w:pPr>
              <w:pStyle w:val="Compact"/>
            </w:pPr>
            <w:r>
              <w:t xml:space="preserve">Family -&gt; shared value; Athlete -&gt; recovery angle</w:t>
            </w:r>
          </w:p>
        </w:tc>
      </w:tr>
      <w:tr>
        <w:tc>
          <w:tcPr/>
          <w:p>
            <w:pPr>
              <w:pStyle w:val="Compact"/>
            </w:pPr>
            <w:r>
              <w:t xml:space="preserve">How did you hear about us?</w:t>
            </w:r>
          </w:p>
        </w:tc>
        <w:tc>
          <w:tcPr/>
          <w:p>
            <w:pPr>
              <w:pStyle w:val="Compact"/>
            </w:pPr>
            <w:r>
              <w:t xml:space="preserve">how_heard_podcast</w:t>
            </w:r>
          </w:p>
        </w:tc>
        <w:tc>
          <w:tcPr/>
          <w:p>
            <w:pPr>
              <w:pStyle w:val="Compact"/>
            </w:pPr>
            <w:r>
              <w:t xml:space="preserve">Attribution; which podcast drives conversion</w:t>
            </w:r>
          </w:p>
        </w:tc>
      </w:tr>
    </w:tbl>
    <w:bookmarkEnd w:id="98"/>
    <w:bookmarkStart w:id="99" w:name="top-consumer-objections"/>
    <w:p>
      <w:pPr>
        <w:pStyle w:val="Heading2"/>
      </w:pPr>
      <w:r>
        <w:t xml:space="preserve">Top Consumer Objections</w:t>
      </w:r>
    </w:p>
    <w:p>
      <w:pPr>
        <w:numPr>
          <w:ilvl w:val="0"/>
          <w:numId w:val="1018"/>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8"/>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8"/>
        </w:numPr>
      </w:pPr>
      <w:r>
        <w:rPr>
          <w:b/>
          <w:bCs/>
        </w:rPr>
        <w:t xml:space="preserve">$2,995 is a lot:</w:t>
      </w:r>
      <w:r>
        <w:t xml:space="preserve"> </w:t>
      </w:r>
      <w:r>
        <w:t xml:space="preserve">$1.15/session over 5 years at 5x/week. Supplements run $600-$1,200/year with absorption uncertainty. Financing available. &lt;1% return rate.</w:t>
      </w:r>
    </w:p>
    <w:p>
      <w:pPr>
        <w:numPr>
          <w:ilvl w:val="0"/>
          <w:numId w:val="1018"/>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8"/>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99"/>
    <w:bookmarkStart w:id="100" w:name="commercial-playbook"/>
    <w:p>
      <w:pPr>
        <w:pStyle w:val="Heading2"/>
      </w:pPr>
      <w:r>
        <w:t xml:space="preserve">Commercial Playbook</w:t>
      </w:r>
    </w:p>
    <w:p>
      <w:pPr>
        <w:pStyle w:val="FirstParagraph"/>
      </w:pPr>
      <w:r>
        <w:rPr>
          <w:b/>
          <w:bCs/>
        </w:rPr>
        <w:t xml:space="preserve">Anchor:</w:t>
      </w:r>
      <w:r>
        <w:t xml:space="preserve"> </w:t>
      </w:r>
      <w:r>
        <w:t xml:space="preserve">operators charge clients $49 to $125 per month for Enyrgy access, set by market and clientele. At 50 active clients, payback on the $8,950 unit is under 4 months at $49 per month and about 6 weeks at $125 per month. Marginal cost per session is near zero (no consumables, no practitioner, 2 to 4 minutes, app-run).</w:t>
      </w:r>
    </w:p>
    <w:p>
      <w:pPr>
        <w:numPr>
          <w:ilvl w:val="0"/>
          <w:numId w:val="1019"/>
        </w:numPr>
      </w:pPr>
      <w:r>
        <w:rPr>
          <w:b/>
          <w:bCs/>
        </w:rPr>
        <w:t xml:space="preserve">We already have red light:</w:t>
      </w:r>
      <w:r>
        <w:t xml:space="preserve"> </w:t>
      </w:r>
      <w:r>
        <w:t xml:space="preserve">90% of Enyrgy customers use both, different biological purposes. Upsell, not replacement.</w:t>
      </w:r>
    </w:p>
    <w:p>
      <w:pPr>
        <w:numPr>
          <w:ilvl w:val="0"/>
          <w:numId w:val="1019"/>
        </w:numPr>
      </w:pPr>
      <w:r>
        <w:rPr>
          <w:b/>
          <w:bCs/>
        </w:rPr>
        <w:t xml:space="preserve">Would clients pay?:</w:t>
      </w:r>
      <w:r>
        <w:t xml:space="preserve"> </w:t>
      </w:r>
      <w:r>
        <w:t xml:space="preserve">About three-quarters of people have vitamin D below 30 ng/mL, so the demand is already in your book. Operators are charging $49 to $125 a month, depending on their market and clientele.</w:t>
      </w:r>
    </w:p>
    <w:p>
      <w:pPr>
        <w:numPr>
          <w:ilvl w:val="0"/>
          <w:numId w:val="1019"/>
        </w:numPr>
      </w:pPr>
      <w:r>
        <w:rPr>
          <w:b/>
          <w:bCs/>
        </w:rPr>
        <w:t xml:space="preserve">Pricing model:</w:t>
      </w:r>
      <w:r>
        <w:t xml:space="preserve"> </w:t>
      </w:r>
      <w:r>
        <w:t xml:space="preserve">the market is moving from per-modality add-ons toward membership models. Position Enyrgy as a draw for new members or an upgrade trigger into a higher tier. Where a facility runs credit-based memberships, price it as a flat monthly add-on outside credits, or include it in a top tier.</w:t>
      </w:r>
    </w:p>
    <w:p>
      <w:pPr>
        <w:numPr>
          <w:ilvl w:val="0"/>
          <w:numId w:val="1019"/>
        </w:numPr>
      </w:pPr>
      <w:r>
        <w:rPr>
          <w:b/>
          <w:bCs/>
        </w:rPr>
        <w:t xml:space="preserve">Staff training?:</w:t>
      </w:r>
      <w:r>
        <w:t xml:space="preserve"> </w:t>
      </w:r>
      <w:r>
        <w:t xml:space="preserve">Included; the app calculates each client’s MED and controls the session.</w:t>
      </w:r>
    </w:p>
    <w:bookmarkEnd w:id="100"/>
    <w:bookmarkStart w:id="101" w:name="investor-playbook-pitch-flow"/>
    <w:p>
      <w:pPr>
        <w:pStyle w:val="Heading2"/>
      </w:pPr>
      <w:r>
        <w:t xml:space="preserve">Investor Playbook, Pitch Flow</w:t>
      </w:r>
    </w:p>
    <w:p>
      <w:pPr>
        <w:numPr>
          <w:ilvl w:val="0"/>
          <w:numId w:val="1020"/>
        </w:numPr>
      </w:pPr>
      <w:r>
        <w:t xml:space="preserve">Company &amp; Problem (5 min): about three-quarters of people have vitamin D below 30 ng/mL, about one in four trial participants were low responders to supplementation, no scalable UVB solution.</w:t>
      </w:r>
    </w:p>
    <w:p>
      <w:pPr>
        <w:numPr>
          <w:ilvl w:val="0"/>
          <w:numId w:val="1020"/>
        </w:numPr>
      </w:pPr>
      <w:r>
        <w:t xml:space="preserve">Solution &amp; Technology (5 min): triple pathway, app-controlled, patented LED card, Made in Phoenix AZ.</w:t>
      </w:r>
    </w:p>
    <w:p>
      <w:pPr>
        <w:numPr>
          <w:ilvl w:val="0"/>
          <w:numId w:val="1020"/>
        </w:numPr>
      </w:pPr>
      <w:r>
        <w:t xml:space="preserve">Traction (5 min): 600+ customers, 25,000+ treatments, &lt;1% return, 5 countries, $14,700+ MRR, zero paid ads.</w:t>
      </w:r>
    </w:p>
    <w:p>
      <w:pPr>
        <w:numPr>
          <w:ilvl w:val="0"/>
          <w:numId w:val="1020"/>
        </w:numPr>
      </w:pPr>
      <w:r>
        <w:t xml:space="preserve">Market &amp; Model (5 min): $2,995/$8,950/OEM, 66-78% margins.</w:t>
      </w:r>
    </w:p>
    <w:p>
      <w:pPr>
        <w:numPr>
          <w:ilvl w:val="0"/>
          <w:numId w:val="1020"/>
        </w:numPr>
      </w:pPr>
      <w:r>
        <w:t xml:space="preserve">The Ask (3 min): $3.5M private credit at 12%/3yr, $50K min, exit $100-150M in 5 years (10-15x).</w:t>
      </w:r>
    </w:p>
    <w:p>
      <w:pPr>
        <w:numPr>
          <w:ilvl w:val="0"/>
          <w:numId w:val="1020"/>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101"/>
    <w:bookmarkEnd w:id="102"/>
    <w:bookmarkStart w:id="103" w:name="section-23-contact"/>
    <w:p>
      <w:pPr>
        <w:pStyle w:val="Heading1"/>
      </w:pPr>
      <w:r>
        <w:t xml:space="preserve">SECTION 23: CONTACT</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Name</w:t>
            </w:r>
          </w:p>
        </w:tc>
        <w:tc>
          <w:tcPr/>
          <w:p>
            <w:pPr>
              <w:pStyle w:val="Compact"/>
            </w:pPr>
            <w:r>
              <w:rPr>
                <w:b/>
                <w:bCs/>
              </w:rPr>
              <w:t xml:space="preserve">Role</w:t>
            </w:r>
          </w:p>
        </w:tc>
        <w:tc>
          <w:tcPr/>
          <w:p>
            <w:pPr>
              <w:pStyle w:val="Compact"/>
            </w:pPr>
            <w:r>
              <w:rPr>
                <w:b/>
                <w:bCs/>
              </w:rPr>
              <w:t xml:space="preserve">Email</w:t>
            </w:r>
          </w:p>
        </w:tc>
        <w:tc>
          <w:tcPr/>
          <w:p>
            <w:pPr>
              <w:pStyle w:val="Compact"/>
            </w:pPr>
            <w:r>
              <w:rPr>
                <w:b/>
                <w:bCs/>
              </w:rPr>
              <w:t xml:space="preserve">Phone</w:t>
            </w:r>
          </w:p>
        </w:tc>
      </w:tr>
      <w:tr>
        <w:tc>
          <w:tcPr/>
          <w:p>
            <w:pPr>
              <w:pStyle w:val="Compact"/>
            </w:pPr>
            <w:r>
              <w:t xml:space="preserve">Scott Hansbury</w:t>
            </w:r>
          </w:p>
        </w:tc>
        <w:tc>
          <w:tcPr/>
          <w:p>
            <w:pPr>
              <w:pStyle w:val="Compact"/>
            </w:pPr>
            <w:r>
              <w:t xml:space="preserve">Co-founder &amp; CEO</w:t>
            </w:r>
          </w:p>
        </w:tc>
        <w:tc>
          <w:tcPr/>
          <w:p>
            <w:pPr>
              <w:pStyle w:val="Compact"/>
            </w:pPr>
            <w:r>
              <w:t xml:space="preserve">scott@enyrgy.com</w:t>
            </w:r>
          </w:p>
        </w:tc>
        <w:tc>
          <w:tcPr/>
          <w:p>
            <w:pPr>
              <w:pStyle w:val="Compact"/>
            </w:pPr>
            <w:r>
              <w:t xml:space="preserve">602-321-0322</w:t>
            </w:r>
          </w:p>
        </w:tc>
      </w:tr>
      <w:tr>
        <w:tc>
          <w:tcPr/>
          <w:p>
            <w:pPr>
              <w:pStyle w:val="Compact"/>
            </w:pPr>
            <w:r>
              <w:t xml:space="preserve">David Letourneau</w:t>
            </w:r>
          </w:p>
        </w:tc>
        <w:tc>
          <w:tcPr/>
          <w:p>
            <w:pPr>
              <w:pStyle w:val="Compact"/>
            </w:pPr>
            <w:r>
              <w:t xml:space="preserve">EVP Operations &amp; Co-Founder</w:t>
            </w:r>
          </w:p>
        </w:tc>
        <w:tc>
          <w:tcPr/>
          <w:p>
            <w:pPr>
              <w:pStyle w:val="Compact"/>
            </w:pPr>
            <w:r>
              <w:t xml:space="preserve">david@enyrgy.com</w:t>
            </w:r>
          </w:p>
        </w:tc>
        <w:tc>
          <w:tcPr/>
          <w:p>
            <w:pPr>
              <w:pStyle w:val="Compact"/>
            </w:pPr>
            <w:r>
              <w:t xml:space="preserve">602-625-6607</w:t>
            </w:r>
          </w:p>
        </w:tc>
      </w:tr>
      <w:tr>
        <w:tc>
          <w:tcPr/>
          <w:p>
            <w:pPr>
              <w:pStyle w:val="Compact"/>
            </w:pPr>
            <w:r>
              <w:t xml:space="preserve">Brian Cameron</w:t>
            </w:r>
          </w:p>
        </w:tc>
        <w:tc>
          <w:tcPr/>
          <w:p>
            <w:pPr>
              <w:pStyle w:val="Compact"/>
            </w:pPr>
            <w:r>
              <w:t xml:space="preserve">CFO</w:t>
            </w:r>
          </w:p>
        </w:tc>
        <w:tc>
          <w:tcPr/>
          <w:p>
            <w:pPr>
              <w:pStyle w:val="Compact"/>
            </w:pPr>
            <w:r>
              <w:t xml:space="preserve">bcameron@brian-cameron.com</w:t>
            </w:r>
          </w:p>
        </w:tc>
        <w:tc>
          <w:tcPr/>
          <w:p>
            <w:pPr>
              <w:pStyle w:val="Compact"/>
            </w:pPr>
            <w:r>
              <w:t xml:space="preserve">602-865-9356</w:t>
            </w:r>
          </w:p>
        </w:tc>
      </w:tr>
      <w:tr>
        <w:tc>
          <w:tcPr/>
          <w:p>
            <w:pPr>
              <w:pStyle w:val="Compact"/>
            </w:pPr>
            <w:r>
              <w:t xml:space="preserve">Dennis Lan</w:t>
            </w:r>
          </w:p>
        </w:tc>
        <w:tc>
          <w:tcPr/>
          <w:p>
            <w:pPr>
              <w:pStyle w:val="Compact"/>
            </w:pPr>
            <w:r>
              <w:t xml:space="preserve">Director, Supply Chain</w:t>
            </w:r>
          </w:p>
        </w:tc>
        <w:tc>
          <w:tcPr/>
          <w:p>
            <w:pPr>
              <w:pStyle w:val="Compact"/>
            </w:pPr>
          </w:p>
        </w:tc>
        <w:tc>
          <w:tcPr/>
          <w:p>
            <w:pPr>
              <w:pStyle w:val="Compact"/>
            </w:pPr>
          </w:p>
        </w:tc>
      </w:tr>
      <w:tr>
        <w:tc>
          <w:tcPr/>
          <w:p>
            <w:pPr>
              <w:pStyle w:val="Compact"/>
            </w:pPr>
            <w:r>
              <w:t xml:space="preserve">Dario Pompeii</w:t>
            </w:r>
          </w:p>
        </w:tc>
        <w:tc>
          <w:tcPr/>
          <w:p>
            <w:pPr>
              <w:pStyle w:val="Compact"/>
            </w:pPr>
            <w:r>
              <w:t xml:space="preserve">Senior Engineer</w:t>
            </w:r>
          </w:p>
        </w:tc>
        <w:tc>
          <w:tcPr/>
          <w:p>
            <w:pPr>
              <w:pStyle w:val="Compact"/>
            </w:pPr>
          </w:p>
        </w:tc>
        <w:tc>
          <w:tcPr/>
          <w:p>
            <w:pPr>
              <w:pStyle w:val="Compact"/>
            </w:pPr>
          </w:p>
        </w:tc>
      </w:tr>
      <w:tr>
        <w:tc>
          <w:tcPr/>
          <w:p>
            <w:pPr>
              <w:pStyle w:val="Compact"/>
            </w:pPr>
            <w:r>
              <w:t xml:space="preserve">Millie Carrillo</w:t>
            </w:r>
          </w:p>
        </w:tc>
        <w:tc>
          <w:tcPr/>
          <w:p>
            <w:pPr>
              <w:pStyle w:val="Compact"/>
            </w:pPr>
            <w:r>
              <w:t xml:space="preserve">Affiliate Manager</w:t>
            </w:r>
          </w:p>
        </w:tc>
        <w:tc>
          <w:tcPr/>
          <w:p>
            <w:pPr>
              <w:pStyle w:val="Compact"/>
            </w:pPr>
          </w:p>
        </w:tc>
        <w:tc>
          <w:tcPr/>
          <w:p>
            <w:pPr>
              <w:pStyle w:val="Compact"/>
            </w:pPr>
          </w:p>
        </w:tc>
      </w:tr>
      <w:tr>
        <w:tc>
          <w:tcPr/>
          <w:p>
            <w:pPr>
              <w:pStyle w:val="Compact"/>
            </w:pPr>
            <w:r>
              <w:t xml:space="preserve">Thea Cartier</w:t>
            </w:r>
          </w:p>
        </w:tc>
        <w:tc>
          <w:tcPr/>
          <w:p>
            <w:pPr>
              <w:pStyle w:val="Compact"/>
            </w:pPr>
            <w:r>
              <w:t xml:space="preserve">Social Media Manager</w:t>
            </w:r>
          </w:p>
        </w:tc>
        <w:tc>
          <w:tcPr/>
          <w:p>
            <w:pPr>
              <w:pStyle w:val="Compact"/>
            </w:pPr>
          </w:p>
        </w:tc>
        <w:tc>
          <w:tcPr/>
          <w:p>
            <w:pPr>
              <w:pStyle w:val="Compact"/>
            </w:pPr>
          </w:p>
        </w:tc>
      </w:tr>
    </w:tbl>
    <w:p>
      <w:pPr>
        <w:pStyle w:val="BodyText"/>
      </w:pPr>
      <w:r>
        <w:t xml:space="preserve">www.enyrgy.com · Facility: 5115 N 27th Ave, Bld 66, Phoenix, AZ 85017</w:t>
      </w:r>
    </w:p>
    <w:bookmarkEnd w:id="103"/>
    <w:bookmarkStart w:id="110" w:name="X2eb0bc4ebcb5446a412218d313bed2b732c6680"/>
    <w:p>
      <w:pPr>
        <w:pStyle w:val="Heading1"/>
      </w:pPr>
      <w:r>
        <w:t xml:space="preserve">SECTION 24: CONSUMER FUNNEL: ICP-DARTBOARD SYSTEM (NEW in v3.7)</w:t>
      </w:r>
    </w:p>
    <w:bookmarkStart w:id="104"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Ring</w:t>
            </w:r>
          </w:p>
        </w:tc>
        <w:tc>
          <w:tcPr/>
          <w:p>
            <w:pPr>
              <w:pStyle w:val="Compact"/>
            </w:pPr>
            <w:r>
              <w:rPr>
                <w:b/>
                <w:bCs/>
              </w:rPr>
              <w:t xml:space="preserve">ICP</w:t>
            </w:r>
          </w:p>
        </w:tc>
        <w:tc>
          <w:tcPr/>
          <w:p>
            <w:pPr>
              <w:pStyle w:val="Compact"/>
            </w:pPr>
            <w:r>
              <w:rPr>
                <w:b/>
                <w:bCs/>
              </w:rPr>
              <w:t xml:space="preserve">Weight</w:t>
            </w:r>
          </w:p>
        </w:tc>
        <w:tc>
          <w:tcPr/>
          <w:p>
            <w:pPr>
              <w:pStyle w:val="Compact"/>
            </w:pPr>
            <w:r>
              <w:rPr>
                <w:b/>
                <w:bCs/>
              </w:rPr>
              <w:t xml:space="preserve">Magnet</w:t>
            </w:r>
          </w:p>
        </w:tc>
        <w:tc>
          <w:tcPr/>
          <w:p>
            <w:pPr>
              <w:pStyle w:val="Compact"/>
            </w:pPr>
            <w:r>
              <w:rPr>
                <w:b/>
                <w:bCs/>
              </w:rPr>
              <w:t xml:space="preserve">Format</w:t>
            </w:r>
          </w:p>
        </w:tc>
      </w:tr>
      <w:tr>
        <w:tc>
          <w:tcPr/>
          <w:p>
            <w:pPr>
              <w:pStyle w:val="Compact"/>
            </w:pPr>
            <w:r>
              <w:t xml:space="preserve">Bullseye</w:t>
            </w:r>
          </w:p>
        </w:tc>
        <w:tc>
          <w:tcPr/>
          <w:p>
            <w:pPr>
              <w:pStyle w:val="Compact"/>
            </w:pPr>
            <w:r>
              <w:t xml:space="preserve">Stack Optimizer (skeptical, supplement-savvy)</w:t>
            </w:r>
          </w:p>
        </w:tc>
        <w:tc>
          <w:tcPr/>
          <w:p>
            <w:pPr>
              <w:pStyle w:val="Compact"/>
            </w:pPr>
            <w:r>
              <w:t xml:space="preserve">60%</w:t>
            </w:r>
          </w:p>
        </w:tc>
        <w:tc>
          <w:tcPr/>
          <w:p>
            <w:pPr>
              <w:pStyle w:val="Compact"/>
            </w:pPr>
            <w:r>
              <w:t xml:space="preserve">Synthesis Gap Guide</w:t>
            </w:r>
          </w:p>
        </w:tc>
        <w:tc>
          <w:tcPr/>
          <w:p>
            <w:pPr>
              <w:pStyle w:val="Compact"/>
            </w:pPr>
            <w:r>
              <w:t xml:space="preserve">PDF, evidence-forward</w:t>
            </w:r>
          </w:p>
        </w:tc>
      </w:tr>
      <w:tr>
        <w:tc>
          <w:tcPr/>
          <w:p>
            <w:pPr>
              <w:pStyle w:val="Compact"/>
            </w:pPr>
            <w:r>
              <w:t xml:space="preserve">Inner Ring</w:t>
            </w:r>
          </w:p>
        </w:tc>
        <w:tc>
          <w:tcPr/>
          <w:p>
            <w:pPr>
              <w:pStyle w:val="Compact"/>
            </w:pPr>
            <w:r>
              <w:t xml:space="preserve">Performance Athlete</w:t>
            </w:r>
          </w:p>
        </w:tc>
        <w:tc>
          <w:tcPr/>
          <w:p>
            <w:pPr>
              <w:pStyle w:val="Compact"/>
            </w:pPr>
            <w:r>
              <w:t xml:space="preserve">35%</w:t>
            </w:r>
          </w:p>
        </w:tc>
        <w:tc>
          <w:tcPr/>
          <w:p>
            <w:pPr>
              <w:pStyle w:val="Compact"/>
            </w:pPr>
            <w:r>
              <w:t xml:space="preserve">Recovery Protocol Guide</w:t>
            </w:r>
          </w:p>
        </w:tc>
        <w:tc>
          <w:tcPr/>
          <w:p>
            <w:pPr>
              <w:pStyle w:val="Compact"/>
            </w:pPr>
            <w:r>
              <w:t xml:space="preserve">PDF, evidence-forward</w:t>
            </w:r>
          </w:p>
        </w:tc>
      </w:tr>
      <w:tr>
        <w:tc>
          <w:tcPr/>
          <w:p>
            <w:pPr>
              <w:pStyle w:val="Compact"/>
            </w:pPr>
            <w:r>
              <w:t xml:space="preserve">Inner Ring</w:t>
            </w:r>
          </w:p>
        </w:tc>
        <w:tc>
          <w:tcPr/>
          <w:p>
            <w:pPr>
              <w:pStyle w:val="Compact"/>
            </w:pPr>
            <w:r>
              <w:t xml:space="preserve">SAD Sufferer (seasonal Aug-Oct)</w:t>
            </w:r>
          </w:p>
        </w:tc>
        <w:tc>
          <w:tcPr/>
          <w:p>
            <w:pPr>
              <w:pStyle w:val="Compact"/>
            </w:pPr>
            <w:r>
              <w:t xml:space="preserve">seasonal</w:t>
            </w:r>
          </w:p>
        </w:tc>
        <w:tc>
          <w:tcPr/>
          <w:p>
            <w:pPr>
              <w:pStyle w:val="Compact"/>
            </w:pPr>
            <w:r>
              <w:t xml:space="preserve">Winter Protocol Guide</w:t>
            </w:r>
          </w:p>
        </w:tc>
        <w:tc>
          <w:tcPr/>
          <w:p>
            <w:pPr>
              <w:pStyle w:val="Compact"/>
            </w:pPr>
            <w:r>
              <w:t xml:space="preserve">PDF, validation-first</w:t>
            </w:r>
          </w:p>
        </w:tc>
      </w:tr>
      <w:tr>
        <w:tc>
          <w:tcPr/>
          <w:p>
            <w:pPr>
              <w:pStyle w:val="Compact"/>
            </w:pPr>
            <w:r>
              <w:t xml:space="preserve">Outer Ring</w:t>
            </w:r>
          </w:p>
        </w:tc>
        <w:tc>
          <w:tcPr/>
          <w:p>
            <w:pPr>
              <w:pStyle w:val="Compact"/>
            </w:pPr>
            <w:r>
              <w:t xml:space="preserve">Energy/Sleep Seeker (Problem-Aware)</w:t>
            </w:r>
          </w:p>
        </w:tc>
        <w:tc>
          <w:tcPr/>
          <w:p>
            <w:pPr>
              <w:pStyle w:val="Compact"/>
            </w:pPr>
            <w:r>
              <w:t xml:space="preserve">5%</w:t>
            </w:r>
          </w:p>
        </w:tc>
        <w:tc>
          <w:tcPr/>
          <w:p>
            <w:pPr>
              <w:pStyle w:val="Compact"/>
            </w:pPr>
            <w:r>
              <w:t xml:space="preserve">Tired Test</w:t>
            </w:r>
          </w:p>
        </w:tc>
        <w:tc>
          <w:tcPr/>
          <w:p>
            <w:pPr>
              <w:pStyle w:val="Compact"/>
            </w:pPr>
            <w:r>
              <w:t xml:space="preserve">Interactive QUIZ (not a guide)</w:t>
            </w:r>
          </w:p>
        </w:tc>
      </w:tr>
      <w:tr>
        <w:tc>
          <w:tcPr/>
          <w:p>
            <w:pPr>
              <w:pStyle w:val="Compact"/>
            </w:pPr>
            <w:r>
              <w:t xml:space="preserve">Everyone else</w:t>
            </w:r>
          </w:p>
        </w:tc>
        <w:tc>
          <w:tcPr/>
          <w:p>
            <w:pPr>
              <w:pStyle w:val="Compact"/>
            </w:pPr>
            <w:r>
              <w:t xml:space="preserve">general contact-form leads</w:t>
            </w:r>
          </w:p>
        </w:tc>
        <w:tc>
          <w:tcPr/>
          <w:p>
            <w:pPr>
              <w:pStyle w:val="Compact"/>
            </w:pPr>
            <w:r>
              <w:t xml:space="preserve">, ,</w:t>
            </w:r>
          </w:p>
        </w:tc>
        <w:tc>
          <w:tcPr/>
          <w:p>
            <w:pPr>
              <w:pStyle w:val="Compact"/>
            </w:pPr>
          </w:p>
        </w:tc>
        <w:tc>
          <w:tcPr/>
          <w:p>
            <w:pPr>
              <w:pStyle w:val="Compact"/>
            </w:pPr>
            <w:r>
              <w:t xml:space="preserve">Consumer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104"/>
    <w:bookmarkStart w:id="105" w:name="end-to-end-routing"/>
    <w:p>
      <w:pPr>
        <w:pStyle w:val="Heading2"/>
      </w:pPr>
      <w:r>
        <w:t xml:space="preserve">End-to-End Routing</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Ring</w:t>
            </w:r>
          </w:p>
        </w:tc>
        <w:tc>
          <w:tcPr/>
          <w:p>
            <w:pPr>
              <w:pStyle w:val="Compact"/>
            </w:pPr>
            <w:r>
              <w:rPr>
                <w:b/>
                <w:bCs/>
              </w:rPr>
              <w:t xml:space="preserve">Entry</w:t>
            </w:r>
          </w:p>
        </w:tc>
        <w:tc>
          <w:tcPr/>
          <w:p>
            <w:pPr>
              <w:pStyle w:val="Compact"/>
            </w:pPr>
            <w:r>
              <w:rPr>
                <w:b/>
                <w:bCs/>
              </w:rPr>
              <w:t xml:space="preserve">Capture WF</w:t>
            </w:r>
          </w:p>
        </w:tc>
        <w:tc>
          <w:tcPr/>
          <w:p>
            <w:pPr>
              <w:pStyle w:val="Compact"/>
            </w:pPr>
            <w:r>
              <w:rPr>
                <w:b/>
                <w:bCs/>
              </w:rPr>
              <w:t xml:space="preserve">Nurture WF</w:t>
            </w:r>
          </w:p>
        </w:tc>
        <w:tc>
          <w:tcPr/>
          <w:p>
            <w:pPr>
              <w:pStyle w:val="Compact"/>
            </w:pPr>
            <w:r>
              <w:rPr>
                <w:b/>
                <w:bCs/>
              </w:rPr>
              <w:t xml:space="preserve">Long-term</w:t>
            </w:r>
          </w:p>
        </w:tc>
      </w:tr>
      <w:tr>
        <w:tc>
          <w:tcPr/>
          <w:p>
            <w:pPr>
              <w:pStyle w:val="Compact"/>
            </w:pPr>
            <w:r>
              <w:t xml:space="preserve">Bullseye (Synthesis Gap)</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 (Recovery)</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 (Winter)</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 (Tired Test)</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Everyone else</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t xml:space="preserve">All magnet leads converge into WF-17 Long-Term Nurture after their magnet series.</w:t>
      </w:r>
    </w:p>
    <w:bookmarkEnd w:id="105"/>
    <w:bookmarkStart w:id="106"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21"/>
        </w:numPr>
      </w:pPr>
      <w:r>
        <w:t xml:space="preserve">magnet_lead, marks a lead-magnet entrant (suppression marker).</w:t>
      </w:r>
    </w:p>
    <w:p>
      <w:pPr>
        <w:numPr>
          <w:ilvl w:val="0"/>
          <w:numId w:val="1021"/>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Workflow</w:t>
            </w:r>
          </w:p>
        </w:tc>
        <w:tc>
          <w:tcPr/>
          <w:p>
            <w:pPr>
              <w:pStyle w:val="Compact"/>
            </w:pPr>
            <w:r>
              <w:rPr>
                <w:b/>
                <w:bCs/>
              </w:rPr>
              <w:t xml:space="preserve">Gate</w:t>
            </w:r>
          </w:p>
        </w:tc>
      </w:tr>
      <w:tr>
        <w:tc>
          <w:tcPr/>
          <w:p>
            <w:pPr>
              <w:pStyle w:val="Compact"/>
            </w:pPr>
            <w:r>
              <w:t xml:space="preserve">Consumer Drip (12-touch)</w:t>
            </w:r>
          </w:p>
        </w:tc>
        <w:tc>
          <w:tcPr/>
          <w:p>
            <w:pPr>
              <w:pStyle w:val="Compact"/>
            </w:pPr>
            <w:r>
              <w:t xml:space="preserve">First-step If/Else: NOT drip_bypass -&gt; run; else END</w:t>
            </w:r>
          </w:p>
        </w:tc>
      </w:tr>
      <w:tr>
        <w:tc>
          <w:tcPr/>
          <w:p>
            <w:pPr>
              <w:pStyle w:val="Compact"/>
            </w:pPr>
            <w:r>
              <w:t xml:space="preserve">WF-02 5-Minute SMS</w:t>
            </w:r>
          </w:p>
        </w:tc>
        <w:tc>
          <w:tcPr/>
          <w:p>
            <w:pPr>
              <w:pStyle w:val="Compact"/>
            </w:pPr>
            <w:r>
              <w:t xml:space="preserve">If/Else: NOT drip_bypass -&gt; send; else END</w:t>
            </w:r>
          </w:p>
        </w:tc>
      </w:tr>
      <w:tr>
        <w:tc>
          <w:tcPr/>
          <w:p>
            <w:pPr>
              <w:pStyle w:val="Compact"/>
            </w:pPr>
            <w:r>
              <w:t xml:space="preserve">WF-04 Stale Lead Sentinel</w:t>
            </w:r>
          </w:p>
        </w:tc>
        <w:tc>
          <w:tcPr/>
          <w:p>
            <w:pPr>
              <w:pStyle w:val="Compact"/>
            </w:pPr>
            <w:r>
              <w:t xml:space="preserve">“Stale Lead”</w:t>
            </w:r>
            <w:r>
              <w:t xml:space="preserve"> </w:t>
            </w:r>
            <w:r>
              <w:t xml:space="preserve">branch: status_in_drip AND NOT drip_bypass</w:t>
            </w:r>
          </w:p>
        </w:tc>
      </w:tr>
      <w:tr>
        <w:tc>
          <w:tcPr/>
          <w:p>
            <w:pPr>
              <w:pStyle w:val="Compact"/>
            </w:pPr>
            <w:r>
              <w:t xml:space="preserve">WF-12 / WF-15 / WF-18</w:t>
            </w:r>
          </w:p>
        </w:tc>
        <w:tc>
          <w:tcPr/>
          <w:p>
            <w:pPr>
              <w:pStyle w:val="Compac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106"/>
    <w:bookmarkStart w:id="107" w:name="the-magnets"/>
    <w:p>
      <w:pPr>
        <w:pStyle w:val="Heading2"/>
      </w:pPr>
      <w:r>
        <w:t xml:space="preserve">The Magnets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Magnet</w:t>
            </w:r>
          </w:p>
        </w:tc>
        <w:tc>
          <w:tcPr/>
          <w:p>
            <w:pPr>
              <w:pStyle w:val="Compact"/>
            </w:pPr>
            <w:r>
              <w:rPr>
                <w:b/>
                <w:bCs/>
              </w:rPr>
              <w:t xml:space="preserve">ICP</w:t>
            </w:r>
          </w:p>
        </w:tc>
        <w:tc>
          <w:tcPr/>
          <w:p>
            <w:pPr>
              <w:pStyle w:val="Compact"/>
            </w:pPr>
            <w:r>
              <w:rPr>
                <w:b/>
                <w:bCs/>
              </w:rPr>
              <w:t xml:space="preserve">Skills</w:t>
            </w:r>
          </w:p>
        </w:tc>
        <w:tc>
          <w:tcPr/>
          <w:p>
            <w:pPr>
              <w:pStyle w:val="Compact"/>
            </w:pPr>
            <w:r>
              <w:rPr>
                <w:b/>
                <w:bCs/>
              </w:rPr>
              <w:t xml:space="preserve">Notes</w:t>
            </w:r>
          </w:p>
        </w:tc>
      </w:tr>
      <w:tr>
        <w:tc>
          <w:tcPr/>
          <w:p>
            <w:pPr>
              <w:pStyle w:val="Compact"/>
            </w:pPr>
            <w:r>
              <w:t xml:space="preserve">Synthesis Gap Guide</w:t>
            </w:r>
          </w:p>
        </w:tc>
        <w:tc>
          <w:tcPr/>
          <w:p>
            <w:pPr>
              <w:pStyle w:val="Compact"/>
            </w:pPr>
            <w:r>
              <w:t xml:space="preserve">Stack Optimizer</w:t>
            </w:r>
          </w:p>
        </w:tc>
        <w:tc>
          <w:tcPr/>
          <w:p>
            <w:pPr>
              <w:pStyle w:val="Compact"/>
            </w:pPr>
            <w:r>
              <w:t xml:space="preserve">cub + humanize + eugene</w:t>
            </w:r>
          </w:p>
        </w:tc>
        <w:tc>
          <w:tcPr/>
          <w:p>
            <w:pPr>
              <w:pStyle w:val="Compact"/>
            </w:pPr>
            <w:r>
              <w:t xml:space="preserve">“Supplements raise a number. Sunlight runs a process.”</w:t>
            </w:r>
            <w:r>
              <w:t xml:space="preserve"> </w:t>
            </w:r>
            <w:r>
              <w:t xml:space="preserve">Cascade signature: D3-&gt;sulfate-&gt;photoproducts-&gt;(gap: nitric oxide-&gt;serotonin).</w:t>
            </w:r>
          </w:p>
        </w:tc>
      </w:tr>
      <w:tr>
        <w:tc>
          <w:tcPr/>
          <w:p>
            <w:pPr>
              <w:pStyle w:val="Compact"/>
            </w:pPr>
            <w:r>
              <w:t xml:space="preserve">Recovery Protocol Guide</w:t>
            </w:r>
          </w:p>
        </w:tc>
        <w:tc>
          <w:tcPr/>
          <w:p>
            <w:pPr>
              <w:pStyle w:val="Compact"/>
            </w:pPr>
            <w:r>
              <w:t xml:space="preserve">Athlete</w:t>
            </w:r>
          </w:p>
        </w:tc>
        <w:tc>
          <w:tcPr/>
          <w:p>
            <w:pPr>
              <w:pStyle w:val="Compact"/>
            </w:pPr>
            <w:r>
              <w:t xml:space="preserve">cub + humanize + eugene</w:t>
            </w:r>
          </w:p>
        </w:tc>
        <w:tc>
          <w:tcPr/>
          <w:p>
            <w:pPr>
              <w:pStyle w:val="Compact"/>
            </w:pPr>
            <w:r>
              <w:t xml:space="preserve">Bone/injury differentiator; Bogh 2012 trial; stat boxes 14%/11%/50 ng/mL.</w:t>
            </w:r>
          </w:p>
        </w:tc>
      </w:tr>
      <w:tr>
        <w:tc>
          <w:tcPr/>
          <w:p>
            <w:pPr>
              <w:pStyle w:val="Compact"/>
            </w:pPr>
            <w:r>
              <w:t xml:space="preserve">Winter Protocol Guide</w:t>
            </w:r>
          </w:p>
        </w:tc>
        <w:tc>
          <w:tcPr/>
          <w:p>
            <w:pPr>
              <w:pStyle w:val="Compact"/>
            </w:pPr>
            <w:r>
              <w:t xml:space="preserve">SAD</w:t>
            </w:r>
          </w:p>
        </w:tc>
        <w:tc>
          <w:tcPr/>
          <w:p>
            <w:pPr>
              <w:pStyle w:val="Compact"/>
            </w:pPr>
            <w:r>
              <w:t xml:space="preserve">cub + humanize + presell-sandwich</w:t>
            </w:r>
          </w:p>
        </w:tc>
        <w:tc>
          <w:tcPr/>
          <w:p>
            <w:pPr>
              <w:pStyle w:val="Compact"/>
            </w:pPr>
            <w:r>
              <w:t xml:space="preserve">Validation-first; hard clinical-depression disclaimer; cohort =</w:t>
            </w:r>
            <w:r>
              <w:t xml:space="preserve"> </w:t>
            </w:r>
            <w:r>
              <w:t xml:space="preserve">“a lab measure, not a mood measure.”</w:t>
            </w:r>
          </w:p>
        </w:tc>
      </w:tr>
      <w:tr>
        <w:tc>
          <w:tcPr/>
          <w:p>
            <w:pPr>
              <w:pStyle w:val="Compact"/>
            </w:pPr>
            <w:r>
              <w:t xml:space="preserve">Tired Test</w:t>
            </w:r>
          </w:p>
        </w:tc>
        <w:tc>
          <w:tcPr/>
          <w:p>
            <w:pPr>
              <w:pStyle w:val="Compact"/>
            </w:pPr>
            <w:r>
              <w:t xml:space="preserve">Energy/Sleep</w:t>
            </w:r>
          </w:p>
        </w:tc>
        <w:tc>
          <w:tcPr/>
          <w:p>
            <w:pPr>
              <w:pStyle w:val="Compact"/>
            </w:pPr>
            <w:r>
              <w:t xml:space="preserve">cub + presell + humanize</w:t>
            </w:r>
          </w:p>
        </w:tc>
        <w:tc>
          <w:tcPr/>
          <w:p>
            <w:pPr>
              <w:pStyle w:val="Compac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107"/>
    <w:bookmarkStart w:id="108" w:name="email-series"/>
    <w:p>
      <w:pPr>
        <w:pStyle w:val="Heading2"/>
      </w:pPr>
      <w:r>
        <w:t xml:space="preserve">Email Series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Series</w:t>
            </w:r>
          </w:p>
        </w:tc>
        <w:tc>
          <w:tcPr/>
          <w:p>
            <w:pPr>
              <w:pStyle w:val="Compact"/>
            </w:pPr>
            <w:r>
              <w:rPr>
                <w:b/>
                <w:bCs/>
              </w:rPr>
              <w:t xml:space="preserve">WF</w:t>
            </w:r>
          </w:p>
        </w:tc>
        <w:tc>
          <w:tcPr/>
          <w:p>
            <w:pPr>
              <w:pStyle w:val="Compact"/>
            </w:pPr>
            <w:r>
              <w:rPr>
                <w:b/>
                <w:bCs/>
              </w:rPr>
              <w:t xml:space="preserve">Structure</w:t>
            </w:r>
          </w:p>
        </w:tc>
        <w:tc>
          <w:tcPr/>
          <w:p>
            <w:pPr>
              <w:pStyle w:val="Compact"/>
            </w:pPr>
            <w:r>
              <w:rPr>
                <w:b/>
                <w:bCs/>
              </w:rPr>
              <w:t xml:space="preserve">Skills</w:t>
            </w:r>
          </w:p>
        </w:tc>
      </w:tr>
      <w:tr>
        <w:tc>
          <w:tcPr/>
          <w:p>
            <w:pPr>
              <w:pStyle w:val="Compact"/>
            </w:pPr>
            <w:r>
              <w:t xml:space="preserve">Synthesis Gap</w:t>
            </w:r>
          </w:p>
        </w:tc>
        <w:tc>
          <w:tcPr/>
          <w:p>
            <w:pPr>
              <w:pStyle w:val="Compact"/>
            </w:pPr>
            <w:r>
              <w:t xml:space="preserve">WF-16</w:t>
            </w:r>
          </w:p>
        </w:tc>
        <w:tc>
          <w:tcPr/>
          <w:p>
            <w:pPr>
              <w:pStyle w:val="Compact"/>
            </w:pPr>
            <w:r>
              <w:t xml:space="preserve">A/B</w:t>
            </w:r>
          </w:p>
        </w:tc>
        <w:tc>
          <w:tcPr/>
          <w:p>
            <w:pPr>
              <w:pStyle w:val="Compact"/>
            </w:pPr>
            <w:r>
              <w:t xml:space="preserve">A=cub, B=eugene</w:t>
            </w:r>
          </w:p>
        </w:tc>
      </w:tr>
      <w:tr>
        <w:tc>
          <w:tcPr/>
          <w:p>
            <w:pPr>
              <w:pStyle w:val="Compact"/>
            </w:pPr>
            <w:r>
              <w:t xml:space="preserve">Recovery</w:t>
            </w:r>
          </w:p>
        </w:tc>
        <w:tc>
          <w:tcPr/>
          <w:p>
            <w:pPr>
              <w:pStyle w:val="Compact"/>
            </w:pPr>
            <w:r>
              <w:t xml:space="preserve">WF-14</w:t>
            </w:r>
          </w:p>
        </w:tc>
        <w:tc>
          <w:tcPr/>
          <w:p>
            <w:pPr>
              <w:pStyle w:val="Compact"/>
            </w:pPr>
            <w:r>
              <w:t xml:space="preserve">A/B, Day 0/3/6/10</w:t>
            </w:r>
          </w:p>
        </w:tc>
        <w:tc>
          <w:tcPr/>
          <w:p>
            <w:pPr>
              <w:pStyle w:val="Compact"/>
            </w:pPr>
            <w:r>
              <w:t xml:space="preserve">A=cub, B=eugene</w:t>
            </w:r>
          </w:p>
        </w:tc>
      </w:tr>
      <w:tr>
        <w:tc>
          <w:tcPr/>
          <w:p>
            <w:pPr>
              <w:pStyle w:val="Compact"/>
            </w:pPr>
            <w:r>
              <w:t xml:space="preserve">Tired Test</w:t>
            </w:r>
          </w:p>
        </w:tc>
        <w:tc>
          <w:tcPr/>
          <w:p>
            <w:pPr>
              <w:pStyle w:val="Compact"/>
            </w:pPr>
            <w:r>
              <w:t xml:space="preserve">WF-13</w:t>
            </w:r>
          </w:p>
        </w:tc>
        <w:tc>
          <w:tcPr/>
          <w:p>
            <w:pPr>
              <w:pStyle w:val="Compact"/>
            </w:pPr>
            <w:r>
              <w:t xml:space="preserve">5 emails, single</w:t>
            </w:r>
          </w:p>
        </w:tc>
        <w:tc>
          <w:tcPr/>
          <w:p>
            <w:pPr>
              <w:pStyle w:val="Compact"/>
            </w:pPr>
            <w:r>
              <w:t xml:space="preserve">cub + presell + humanize</w:t>
            </w:r>
          </w:p>
        </w:tc>
      </w:tr>
      <w:tr>
        <w:tc>
          <w:tcPr/>
          <w:p>
            <w:pPr>
              <w:pStyle w:val="Compact"/>
            </w:pPr>
            <w:r>
              <w:t xml:space="preserve">Winter Protocol</w:t>
            </w:r>
          </w:p>
        </w:tc>
        <w:tc>
          <w:tcPr/>
          <w:p>
            <w:pPr>
              <w:pStyle w:val="Compact"/>
            </w:pPr>
            <w:r>
              <w:t xml:space="preserve">WF-20</w:t>
            </w:r>
          </w:p>
        </w:tc>
        <w:tc>
          <w:tcPr/>
          <w:p>
            <w:pPr>
              <w:pStyle w:val="Compact"/>
            </w:pPr>
            <w:r>
              <w:t xml:space="preserve">3 emails, 3A/3B seasonal split</w:t>
            </w:r>
          </w:p>
        </w:tc>
        <w:tc>
          <w:tcPr/>
          <w:p>
            <w:pPr>
              <w:pStyle w:val="Compact"/>
            </w:pPr>
            <w:r>
              <w:t xml:space="preserve">cub + humanize + presell-sandwich</w:t>
            </w:r>
          </w:p>
        </w:tc>
      </w:tr>
      <w:tr>
        <w:tc>
          <w:tcPr/>
          <w:p>
            <w:pPr>
              <w:pStyle w:val="Compact"/>
            </w:pPr>
            <w:r>
              <w:t xml:space="preserve">Long-Term Nurture</w:t>
            </w:r>
          </w:p>
        </w:tc>
        <w:tc>
          <w:tcPr/>
          <w:p>
            <w:pPr>
              <w:pStyle w:val="Compact"/>
            </w:pPr>
            <w:r>
              <w:t xml:space="preserve">WF-17</w:t>
            </w:r>
          </w:p>
        </w:tc>
        <w:tc>
          <w:tcPr/>
          <w:p>
            <w:pPr>
              <w:pStyle w:val="Compact"/>
            </w:pPr>
            <w:r>
              <w:t xml:space="preserve">7 emails, shared</w:t>
            </w:r>
          </w:p>
        </w:tc>
        <w:tc>
          <w:tcPr/>
          <w:p>
            <w:pPr>
              <w:pStyle w:val="Compac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108"/>
    <w:bookmarkStart w:id="109" w:name="landing-page-deploy-recipe-proven"/>
    <w:p>
      <w:pPr>
        <w:pStyle w:val="Heading2"/>
      </w:pPr>
      <w:r>
        <w:t xml:space="preserve">Landing-Page Deploy Recipe (proven)</w:t>
      </w:r>
    </w:p>
    <w:p>
      <w:pPr>
        <w:numPr>
          <w:ilvl w:val="0"/>
          <w:numId w:val="1022"/>
        </w:numPr>
      </w:pPr>
      <w:r>
        <w:t xml:space="preserve">Create funnel + step; clean slug from the start.</w:t>
      </w:r>
    </w:p>
    <w:p>
      <w:pPr>
        <w:numPr>
          <w:ilvl w:val="0"/>
          <w:numId w:val="1022"/>
        </w:numPr>
      </w:pPr>
      <w:r>
        <w:t xml:space="preserve">Custom HTML/JavaScript element on a blank step; paste page HTML.</w:t>
      </w:r>
    </w:p>
    <w:p>
      <w:pPr>
        <w:numPr>
          <w:ilvl w:val="0"/>
          <w:numId w:val="1022"/>
        </w:numPr>
      </w:pPr>
      <w:r>
        <w:t xml:space="preserve">Section -&gt; Width: Full.</w:t>
      </w:r>
    </w:p>
    <w:p>
      <w:pPr>
        <w:numPr>
          <w:ilvl w:val="0"/>
          <w:numId w:val="1022"/>
        </w:numPr>
      </w:pPr>
      <w:r>
        <w:t xml:space="preserve">“Allow Rows to take entire width”</w:t>
      </w:r>
      <w:r>
        <w:t xml:space="preserve"> </w:t>
      </w:r>
      <w:r>
        <w:t xml:space="preserve">-&gt; ON.</w:t>
      </w:r>
    </w:p>
    <w:p>
      <w:pPr>
        <w:numPr>
          <w:ilvl w:val="0"/>
          <w:numId w:val="1022"/>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22"/>
        </w:numPr>
      </w:pPr>
      <w:r>
        <w:t xml:space="preserve">Connect domain, Publish.</w:t>
      </w:r>
    </w:p>
    <w:p>
      <w:pPr>
        <w:numPr>
          <w:ilvl w:val="0"/>
          <w:numId w:val="1022"/>
        </w:numPr>
      </w:pPr>
      <w:r>
        <w:t xml:space="preserve">Verify in Chrome incognito (NOT Safari, over-caches).</w:t>
      </w:r>
    </w:p>
    <w:p>
      <w:pPr>
        <w:numPr>
          <w:ilvl w:val="0"/>
          <w:numId w:val="1022"/>
        </w:numPr>
      </w:pPr>
      <w:r>
        <w:t xml:space="preserve">Test with a FRESH email (GHL dedupes).</w:t>
      </w:r>
    </w:p>
    <w:bookmarkEnd w:id="109"/>
    <w:bookmarkEnd w:id="110"/>
    <w:bookmarkStart w:id="111" w:name="document-change-log"/>
    <w:p>
      <w:pPr>
        <w:pStyle w:val="Heading1"/>
      </w:pPr>
      <w:r>
        <w:t xml:space="preserve">Document Change Log</w:t>
      </w:r>
    </w:p>
    <w:p>
      <w:pPr>
        <w:pStyle w:val="FirstParagraph"/>
      </w:pPr>
      <w:r>
        <w:rPr>
          <w:b/>
          <w:bCs/>
        </w:rPr>
        <w:t xml:space="preserve">v3.9.7 Changes (Session 17, August 25, 2026):</w:t>
      </w:r>
      <w:r>
        <w:t xml:space="preserve"> </w:t>
      </w:r>
      <w:r>
        <w:t xml:space="preserve">Three weeks of drift closed. The dealer deal registration system (WF-40 to WF-43, built August 19) was missing entirely, along with the Opportunity custom fields it runs on and the per-dealer form model; both are now in Section 12. Content rules in Section 14 gained the US English requirement and its enforcement gate, the tanning-bed rule, the corrected prevalence figure, the HSA/FSA phrasing lock, and a pointer to the new KB Section 16 on contraindications. Section 17 records the $10M current valuation. Section 18 gains an addendum table for everything sourced since v3.9.6. Section 19 documents the facility referral arrangement and its escalation rule. Section 1 finally applies the users-not-customers correction that v3.9.6 claimed. Where a fact could not be sourced from the repository it is marked CONFIRM rather than guessed.</w:t>
      </w:r>
    </w:p>
    <w:p>
      <w:pPr>
        <w:pStyle w:val="BodyText"/>
      </w:pPr>
      <w:r>
        <w:rPr>
          <w:b/>
          <w:bCs/>
        </w:rPr>
        <w:t xml:space="preserve">v3.9.6 Changes (Session 16, August 4, 2026):</w:t>
      </w:r>
      <w:r>
        <w:t xml:space="preserve"> </w:t>
      </w:r>
      <w:r>
        <w:rPr>
          <w:rStyle w:val="VerbatimChar"/>
        </w:rPr>
        <w:t xml:space="preserve">no_route</w:t>
      </w:r>
      <w:r>
        <w:t xml:space="preserve"> </w:t>
      </w:r>
      <w:r>
        <w:t xml:space="preserve">and</w:t>
      </w:r>
      <w:r>
        <w:t xml:space="preserve"> </w:t>
      </w:r>
      <w:r>
        <w:rPr>
          <w:rStyle w:val="VerbatimChar"/>
        </w:rPr>
        <w:t xml:space="preserve">source_device_app</w:t>
      </w:r>
      <w:r>
        <w:t xml:space="preserve"> </w:t>
      </w:r>
      <w:r>
        <w:t xml:space="preserve">added to the tag taxonomy (Section 9); the two bypass switches distinguished in Section 11, since</w:t>
      </w:r>
      <w:r>
        <w:t xml:space="preserve"> </w:t>
      </w:r>
      <w:r>
        <w:rPr>
          <w:rStyle w:val="VerbatimChar"/>
        </w:rPr>
        <w:t xml:space="preserve">drip_bypass</w:t>
      </w:r>
      <w:r>
        <w:t xml:space="preserve"> </w:t>
      </w:r>
      <w:r>
        <w:t xml:space="preserve">stops drips while</w:t>
      </w:r>
      <w:r>
        <w:t xml:space="preserve"> </w:t>
      </w:r>
      <w:r>
        <w:rPr>
          <w:rStyle w:val="VerbatimChar"/>
        </w:rPr>
        <w:t xml:space="preserve">no_route</w:t>
      </w:r>
      <w:r>
        <w:t xml:space="preserve"> </w:t>
      </w:r>
      <w:r>
        <w:t xml:space="preserve">stops WF-01 routing and confusing them has already cost time; WF-01’s full guard documented (Section 12); a WF-30 to WF-35 register added.</w:t>
      </w:r>
      <w:r>
        <w:t xml:space="preserve"> </w:t>
      </w:r>
      <w:r>
        <w:t xml:space="preserve">“600+ Customers”</w:t>
      </w:r>
      <w:r>
        <w:t xml:space="preserve"> </w:t>
      </w:r>
      <w:r>
        <w:t xml:space="preserve">corrected to</w:t>
      </w:r>
      <w:r>
        <w:t xml:space="preserve"> </w:t>
      </w:r>
      <w:r>
        <w:t xml:space="preserve">“600+ Users”</w:t>
      </w:r>
      <w:r>
        <w:t xml:space="preserve"> </w:t>
      </w:r>
      <w:r>
        <w:t xml:space="preserve">on the cover and in Section 1, since a home unit supports up to six users and the two are not interchangeable.</w:t>
      </w:r>
      <w:r>
        <w:t xml:space="preserve"> </w:t>
      </w:r>
      <w:r>
        <w:rPr>
          <w:b/>
          <w:bCs/>
        </w:rPr>
        <w:t xml:space="preserve">Live campaign copy is no longer documented in this guide.</w:t>
      </w:r>
      <w:r>
        <w:t xml:space="preserve"> </w:t>
      </w:r>
      <w:r>
        <w:t xml:space="preserve">It lives in</w:t>
      </w:r>
      <w:r>
        <w:t xml:space="preserve"> </w:t>
      </w:r>
      <w:r>
        <w:rPr>
          <w:rStyle w:val="VerbatimChar"/>
        </w:rPr>
        <w:t xml:space="preserve">campaigns/</w:t>
      </w:r>
      <w:r>
        <w:t xml:space="preserve">, one file per workflow, captured from GHL and version-controlled, so nobody maintains two copies. Also corrected the v3.9.5 phantom-completion claim below.</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w:t>
      </w:r>
      <w:r>
        <w:t xml:space="preserve"> </w:t>
      </w:r>
      <w:r>
        <w:rPr>
          <w:strike/>
        </w:rPr>
        <w:t xml:space="preserve">Open platform bug: a run that dies on a credit/budget error must go to</w:t>
      </w:r>
      <w:r>
        <w:rPr>
          <w:strike/>
        </w:rPr>
        <w:t xml:space="preserve"> </w:t>
      </w:r>
      <w:r>
        <w:rPr>
          <w:rStyle w:val="VerbatimChar"/>
          <w:strike/>
        </w:rPr>
        <w:t xml:space="preserve">blocked</w:t>
      </w:r>
      <w:r>
        <w:rPr>
          <w:strike/>
        </w:rPr>
        <w:t xml:space="preserve">, never</w:t>
      </w:r>
      <w:r>
        <w:rPr>
          <w:strike/>
        </w:rPr>
        <w:t xml:space="preserve"> </w:t>
      </w:r>
      <w:r>
        <w:rPr>
          <w:rStyle w:val="VerbatimChar"/>
          <w:strike/>
        </w:rPr>
        <w:t xml:space="preserve">done</w:t>
      </w:r>
      <w:r>
        <w:rPr>
          <w:strike/>
        </w:rPr>
        <w:t xml:space="preserve">.</w:t>
      </w:r>
      <w:r>
        <w:t xml:space="preserve"> </w:t>
      </w:r>
      <w:r>
        <w:rPr>
          <w:b/>
          <w:bCs/>
        </w:rPr>
        <w:t xml:space="preserve">RETRACTED in v3.9.6.</w:t>
      </w:r>
      <w:r>
        <w:t xml:space="preserve"> </w:t>
      </w:r>
      <w:r>
        <w:t xml:space="preserve">The recovery code was read directly: credit and budget failures route to</w:t>
      </w:r>
      <w:r>
        <w:t xml:space="preserve"> </w:t>
      </w:r>
      <w:r>
        <w:rPr>
          <w:rStyle w:val="VerbatimChar"/>
        </w:rPr>
        <w:t xml:space="preserve">blocked</w:t>
      </w:r>
      <w:r>
        <w:t xml:space="preserve"> </w:t>
      </w:r>
      <w:r>
        <w:t xml:space="preserve">and never to</w:t>
      </w:r>
      <w:r>
        <w:t xml:space="preserve"> </w:t>
      </w:r>
      <w:r>
        <w:rPr>
          <w:rStyle w:val="VerbatimChar"/>
        </w:rPr>
        <w:t xml:space="preserve">done</w:t>
      </w:r>
      <w:r>
        <w:t xml:space="preserve">, and the only path to</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report was itself a COO confabulation, which is to say an instance of rule (1) above rather than evidence for a separate defect. No platform fix is needed or pending.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r>
        <w:t xml:space="preserve"> </w:t>
      </w:r>
      <w:r>
        <w:rPr>
          <w:i/>
          <w:iCs/>
        </w:rPr>
        <w:t xml:space="preserve">CONFIDENTIAL, Enyrgy Inc, 5115 N 27th Ave, Bld 66, Phoenix, AZ 85017, enyrgy.com, Sunlight. Evolved., Implementation Guide v3.9.7</w:t>
      </w:r>
    </w:p>
    <w:bookmarkEnd w:id="111"/>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GHL Implementation Guide v3 9.7 </w:t>
    </w:r>
    <w:proofErr w:type="gramStart"/>
    <w:r>
      <w:rPr>
        <w:rFonts w:ascii="Montserrat" w:eastAsia="Montserrat" w:hAnsi="Montserrat" w:cs="Montserrat"/>
        <w:b/>
        <w:bCs/>
        <w:color w:val="E64C38"/>
        <w:sz w:val="18"/>
        <w:szCs w:val="18"/>
      </w:rPr>
      <w:t xml:space="preserve">v3.9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2026-09-04T00:03:03Z</dcterms:created>
  <dcterms:modified xsi:type="dcterms:W3CDTF">2026-09-04T00:03:03Z</dcterms:modified>
</cp:coreProperties>
</file>

<file path=docProps/custom.xml><?xml version="1.0" encoding="utf-8"?>
<Properties xmlns="http://schemas.openxmlformats.org/officeDocument/2006/custom-properties" xmlns:vt="http://schemas.openxmlformats.org/officeDocument/2006/docPropsVTypes"/>
</file>