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1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19"/>
    <w:bookmarkStart w:id="2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20"/>
    <w:bookmarkStart w:id="2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21"/>
    <w:bookmarkStart w:id="2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22"/>
    <w:bookmarkStart w:id="23" w:name="Xd016e191396204a5681c996c872ec5a3a4acd6e"/>
    <w:p>
      <w:pPr>
        <w:pStyle w:val="Heading2"/>
      </w:pPr>
      <w:r>
        <w:t xml:space="preserve">4b. Truemed HSA/FSA eligibility (started August 1, 2026.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Commercial-side determination: ANSWERED by Truemed, August 2026.</w:t>
      </w:r>
      <w:r>
        <w:t xml:space="preserve"> </w:t>
      </w:r>
      <w:r>
        <w:t xml:space="preserve">The rule turns on</w:t>
      </w:r>
      <w:r>
        <w:t xml:space="preserve"> </w:t>
      </w:r>
      <w:r>
        <w:rPr>
          <w:b/>
          <w:bCs/>
        </w:rPr>
        <w:t xml:space="preserve">who the buyer of record is</w:t>
      </w:r>
      <w:r>
        <w:t xml:space="preserve">, not on whether a facility was involved.</w:t>
      </w:r>
    </w:p>
    <w:p>
      <w:pPr>
        <w:pStyle w:val="Compact"/>
        <w:numPr>
          <w:ilvl w:val="1"/>
          <w:numId w:val="1058"/>
        </w:numPr>
      </w:pPr>
      <w:r>
        <w:rPr>
          <w:b/>
          <w:bCs/>
        </w:rPr>
        <w:t xml:space="preserve">Not eligible:</w:t>
      </w:r>
      <w:r>
        <w:t xml:space="preserve"> </w:t>
      </w:r>
      <w:r>
        <w:t xml:space="preserve">a facility buying units for its business, and any membership or session fees including Enyrgy access. Business expense, or a membership. This is what Truemed ruled out.</w:t>
      </w:r>
    </w:p>
    <w:p>
      <w:pPr>
        <w:pStyle w:val="Compact"/>
        <w:numPr>
          <w:ilvl w:val="1"/>
          <w:numId w:val="1058"/>
        </w:numPr>
      </w:pPr>
      <w:r>
        <w:rPr>
          <w:b/>
          <w:bCs/>
        </w:rPr>
        <w:t xml:space="preserve">Eligible:</w:t>
      </w:r>
      <w:r>
        <w:t xml:space="preserve"> </w:t>
      </w:r>
      <w:r>
        <w:t xml:space="preserve">an individual buying their own Consumer Unit at</w:t>
      </w:r>
      <w:r>
        <w:t xml:space="preserve"> </w:t>
      </w:r>
      <w:r>
        <w:rPr>
          <w:rStyle w:val="VerbatimChar"/>
        </w:rPr>
        <w:t xml:space="preserve">shop.enyrgy.com</w:t>
      </w:r>
      <w:r>
        <w:t xml:space="preserve"> </w:t>
      </w:r>
      <w:r>
        <w:t xml:space="preserve">through the facility’s unique referral link. The consumer is the purchaser and pays with HSA/FSA; the facility is credited the commission as referrer, not reseller. Recorded in KB §3.</w:t>
      </w:r>
    </w:p>
    <w:p>
      <w:pPr>
        <w:pStyle w:val="Compact"/>
        <w:numPr>
          <w:ilvl w:val="1"/>
          <w:numId w:val="1058"/>
        </w:numPr>
      </w:pPr>
      <w:r>
        <w:rPr>
          <w:b/>
          <w:bCs/>
        </w:rPr>
        <w:t xml:space="preserve">The channel angle is alive, but the wording matters.</w:t>
      </w:r>
      <w:r>
        <w:t xml:space="preserve"> </w:t>
      </w:r>
      <w:r>
        <w:t xml:space="preserve">Copy must not say a member can buy</w:t>
      </w:r>
      <w:r>
        <w:t xml:space="preserve"> </w:t>
      </w:r>
      <w:r>
        <w:t xml:space="preserve">“through”</w:t>
      </w:r>
      <w:r>
        <w:t xml:space="preserve"> </w:t>
      </w:r>
      <w:r>
        <w:t xml:space="preserve">a facility, which implies the facility sells the unit and is the case Truemed excluded. The accurate framing is: refer your members to your own link, they purchase directly and may use HSA/FSA, and you earn the commission. Draft WF-07 Touch 7 copy exists in the Aug 14 session and needs rewriting on that basis before it ships.</w:t>
      </w:r>
    </w:p>
    <w:p>
      <w:pPr>
        <w:pStyle w:val="Compact"/>
        <w:numPr>
          <w:ilvl w:val="1"/>
          <w:numId w:val="1058"/>
        </w:numPr>
      </w:pPr>
      <w:r>
        <w:t xml:space="preserve">Also settles Gino / Beyond Wellness: the answer to the HSA question is yes for his members buying their own units through his link, and no for anything Beyond Wellness buys itself.</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23"/>
    <w:bookmarkStart w:id="2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9"/>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60"/>
        </w:numPr>
      </w:pPr>
      <w:r>
        <w:rPr>
          <w:b/>
          <w:bCs/>
        </w:rPr>
        <w:t xml:space="preserve">Four GHL workflows created and left in Draft</w:t>
      </w:r>
      <w:r>
        <w:t xml:space="preserve">, each with a mapping reference captured from a sample payload: WF-32, WF-32T, WF-33, WF-33T.</w:t>
      </w:r>
    </w:p>
    <w:p>
      <w:pPr>
        <w:pStyle w:val="Compact"/>
        <w:numPr>
          <w:ilvl w:val="0"/>
          <w:numId w:val="1061"/>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2"/>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2"/>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2"/>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2"/>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3"/>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4"/>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5"/>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6"/>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7"/>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24"/>
    <w:bookmarkStart w:id="25" w:name="Xe837bf8dbdf53b86ca87a9b99e4925adf0bf51c"/>
    <w:p>
      <w:pPr>
        <w:pStyle w:val="Heading2"/>
      </w:pPr>
      <w:r>
        <w:t xml:space="preserve">4d. Inbound reply visibility: RESOLVED August 4, 2026</w:t>
      </w:r>
    </w:p>
    <w:p>
      <w:pPr>
        <w:pStyle w:val="Compact"/>
        <w:numPr>
          <w:ilvl w:val="0"/>
          <w:numId w:val="1068"/>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9"/>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70"/>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1"/>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2"/>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3"/>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4"/>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25"/>
    <w:bookmarkStart w:id="26" w:name="X20ecf8d0101cbeb380a3050bea348bce05794c5"/>
    <w:p>
      <w:pPr>
        <w:pStyle w:val="Heading2"/>
      </w:pPr>
      <w:r>
        <w:t xml:space="preserve">4e. WF-01 was creating consumer leads from inbound email: FIXED August 4, 2026</w:t>
      </w:r>
    </w:p>
    <w:p>
      <w:pPr>
        <w:pStyle w:val="Compact"/>
        <w:numPr>
          <w:ilvl w:val="0"/>
          <w:numId w:val="1075"/>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recognize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5"/>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5"/>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5"/>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5"/>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5"/>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26"/>
    <w:bookmarkStart w:id="2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6"/>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6"/>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6"/>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6"/>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6"/>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6"/>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6"/>
        </w:numPr>
      </w:pPr>
      <w:r>
        <w:t xml:space="preserve">☒</w:t>
      </w:r>
      <w:r>
        <w:t xml:space="preserve"> </w:t>
      </w:r>
      <w:r>
        <w:rPr>
          <w:b/>
          <w:bCs/>
        </w:rPr>
        <w:t xml:space="preserve">Spam contacts and their Opportunities deleted.</w:t>
      </w:r>
    </w:p>
    <w:p>
      <w:pPr>
        <w:pStyle w:val="Compact"/>
        <w:numPr>
          <w:ilvl w:val="0"/>
          <w:numId w:val="1076"/>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7"/>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7"/>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6"/>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27"/>
    <w:bookmarkStart w:id="2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8"/>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8"/>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8"/>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8"/>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8"/>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8"/>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8"/>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28"/>
    <w:bookmarkStart w:id="29" w:name="X55de05fafbaa4d531bd299457c6720173b6afce"/>
    <w:p>
      <w:pPr>
        <w:pStyle w:val="Heading2"/>
      </w:pPr>
      <w:r>
        <w:t xml:space="preserve">4g. Dealer program: two open items from the AVETTA onboarding (August 30, 2026)</w:t>
      </w:r>
    </w:p>
    <w:p>
      <w:pPr>
        <w:pStyle w:val="Compact"/>
        <w:numPr>
          <w:ilvl w:val="0"/>
          <w:numId w:val="1079"/>
        </w:numPr>
      </w:pPr>
      <w:r>
        <w:rPr>
          <w:b/>
          <w:bCs/>
        </w:rPr>
        <w:t xml:space="preserve">BLOCKING for dealer #2: the per-dealer form does not isolate the</w:t>
      </w:r>
      <w:r>
        <w:rPr>
          <w:b/>
          <w:bCs/>
        </w:rPr>
        <w:t xml:space="preserve"> </w:t>
      </w:r>
      <w:r>
        <w:rPr>
          <w:rStyle w:val="VerbatimChar"/>
          <w:b/>
          <w:bCs/>
        </w:rPr>
        <w:t xml:space="preserve">Dealer Name</w:t>
      </w:r>
      <w:r>
        <w:rPr>
          <w:b/>
          <w:bCs/>
        </w:rPr>
        <w:t xml:space="preserve"> </w:t>
      </w:r>
      <w:r>
        <w:rPr>
          <w:b/>
          <w:bCs/>
        </w:rPr>
        <w:t xml:space="preserve">dropdown.</w:t>
      </w:r>
      <w:r>
        <w:t xml:space="preserve"> </w:t>
      </w:r>
      <w:r>
        <w:t xml:space="preserve">Options live on the shared</w:t>
      </w:r>
      <w:r>
        <w:t xml:space="preserve"> </w:t>
      </w:r>
      <w:r>
        <w:rPr>
          <w:rStyle w:val="VerbatimChar"/>
        </w:rPr>
        <w:t xml:space="preserve">opportunity.dealer_name</w:t>
      </w:r>
      <w:r>
        <w:t xml:space="preserve"> </w:t>
      </w:r>
      <w:r>
        <w:t xml:space="preserve">custom field, so every form shows the same list. Duplicating the form gives each dealer their own URL and not their own dropdown, which was the whole point. Proven during the AVETTA onboarding: setting the option on their form copy alone propagated to the shared field, and the master simultaneously lost</w:t>
      </w:r>
      <w:r>
        <w:t xml:space="preserve"> </w:t>
      </w:r>
      <w:r>
        <w:rPr>
          <w:rStyle w:val="VerbatimChar"/>
        </w:rPr>
        <w:t xml:space="preserve">Unassigned</w:t>
      </w:r>
      <w:r>
        <w:t xml:space="preserve">.</w:t>
      </w:r>
      <w:r>
        <w:t xml:space="preserve"> </w:t>
      </w:r>
      <w:r>
        <w:rPr>
          <w:b/>
          <w:bCs/>
        </w:rPr>
        <w:t xml:space="preserve">One dealer is safe. A second exposes both.</w:t>
      </w:r>
      <w:r>
        <w:t xml:space="preserve"> </w:t>
      </w:r>
      <w:r>
        <w:t xml:space="preserve">Likely fix is to take the field off the form and capture attribution from a URL parameter, but confirm what the GHL form builder supports before committing. Full detail in</w:t>
      </w:r>
      <w:r>
        <w:t xml:space="preserve"> </w:t>
      </w:r>
      <w:r>
        <w:rPr>
          <w:rStyle w:val="VerbatimChar"/>
        </w:rPr>
        <w:t xml:space="preserve">campaigns/dealer-onboarding.md</w:t>
      </w:r>
      <w:r>
        <w:t xml:space="preserve">.</w:t>
      </w:r>
    </w:p>
    <w:p>
      <w:pPr>
        <w:pStyle w:val="Compact"/>
        <w:numPr>
          <w:ilvl w:val="0"/>
          <w:numId w:val="1080"/>
        </w:numPr>
      </w:pPr>
      <w:r>
        <w:rPr>
          <w:b/>
          <w:bCs/>
        </w:rPr>
        <w:t xml:space="preserve">Automate</w:t>
      </w:r>
      <w:r>
        <w:rPr>
          <w:b/>
          <w:bCs/>
        </w:rPr>
        <w:t xml:space="preserve"> </w:t>
      </w:r>
      <w:r>
        <w:rPr>
          <w:rStyle w:val="VerbatimChar"/>
          <w:b/>
          <w:bCs/>
        </w:rPr>
        <w:t xml:space="preserve">Exclusivity Expires</w:t>
      </w:r>
      <w:r>
        <w:rPr>
          <w:b/>
          <w:bCs/>
        </w:rPr>
        <w:t xml:space="preserve">.</w:t>
      </w:r>
      <w:r>
        <w:t xml:space="preserve"> </w:t>
      </w:r>
      <w:r>
        <w:t xml:space="preserve">Nothing set it, so no dealer would ever have been confirmed by WF-41. Now set by hand at Conflict Check, which works and is enforced by WF-41’s empty check. GHL offers a current date under</w:t>
      </w:r>
      <w:r>
        <w:t xml:space="preserve"> </w:t>
      </w:r>
      <w:r>
        <w:rPr>
          <w:rStyle w:val="VerbatimChar"/>
        </w:rPr>
        <w:t xml:space="preserve">Right now</w:t>
      </w:r>
      <w:r>
        <w:t xml:space="preserve"> </w:t>
      </w:r>
      <w:r>
        <w:t xml:space="preserve">and no offset, so the permanent fix is a Railway round trip using the abandoned-checkout service that already exists. Not urgent at one dealer.</w:t>
      </w:r>
    </w:p>
    <w:p>
      <w:pPr>
        <w:pStyle w:val="Compact"/>
        <w:numPr>
          <w:ilvl w:val="0"/>
          <w:numId w:val="1081"/>
        </w:numPr>
      </w:pPr>
      <w:r>
        <w:rPr>
          <w:b/>
          <w:bCs/>
        </w:rPr>
        <w:t xml:space="preserve">WF-40 hardened (Aug 30).</w:t>
      </w:r>
      <w:r>
        <w:t xml:space="preserve"> </w:t>
      </w:r>
      <w:r>
        <w:t xml:space="preserve">One minute wait before the opportunity lookup, and an internal notification on the</w:t>
      </w:r>
      <w:r>
        <w:t xml:space="preserve"> </w:t>
      </w:r>
      <w:r>
        <w:rPr>
          <w:rStyle w:val="VerbatimChar"/>
        </w:rPr>
        <w:t xml:space="preserve">Opportunity Not Found</w:t>
      </w:r>
      <w:r>
        <w:t xml:space="preserve"> </w:t>
      </w:r>
      <w:r>
        <w:t xml:space="preserve">branch which previously ended in silence.</w:t>
      </w:r>
    </w:p>
    <w:p>
      <w:pPr>
        <w:pStyle w:val="Compact"/>
        <w:numPr>
          <w:ilvl w:val="0"/>
          <w:numId w:val="1082"/>
        </w:numPr>
      </w:pPr>
      <w:r>
        <w:rPr>
          <w:b/>
          <w:bCs/>
        </w:rPr>
        <w:t xml:space="preserve">AVETTA Global LLC: steps 6 and 7 outstanding</w:t>
      </w:r>
      <w:r>
        <w:t xml:space="preserve">, waiting on their W-9. Send the Integrate link, then run the test submission including the WF-41 confirmation path with Scott’s own address in the dealer email field.</w:t>
      </w:r>
    </w:p>
    <w:bookmarkEnd w:id="29"/>
    <w:bookmarkStart w:id="30" w:name="X787c6ae49ec488fed45086d4c0a203c1e5c3e7f"/>
    <w:p>
      <w:pPr>
        <w:pStyle w:val="Heading2"/>
      </w:pPr>
      <w:r>
        <w:t xml:space="preserve">5. Strategic architecture decisions (mostly ratify, not build)</w:t>
      </w:r>
    </w:p>
    <w:p>
      <w:pPr>
        <w:pStyle w:val="Compact"/>
        <w:numPr>
          <w:ilvl w:val="0"/>
          <w:numId w:val="1083"/>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84"/>
        </w:numPr>
      </w:pPr>
      <w:r>
        <w:rPr>
          <w:b/>
          <w:bCs/>
        </w:rPr>
        <w:t xml:space="preserve">System-of-record ownership map:</w:t>
      </w:r>
      <w:r>
        <w:t xml:space="preserve"> </w:t>
      </w:r>
      <w:r>
        <w:t xml:space="preserve">ratify the documented SoR (decision/doc task).</w:t>
      </w:r>
    </w:p>
    <w:p>
      <w:pPr>
        <w:pStyle w:val="Compact"/>
        <w:numPr>
          <w:ilvl w:val="0"/>
          <w:numId w:val="1085"/>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6"/>
        </w:numPr>
      </w:pPr>
      <w:r>
        <w:rPr>
          <w:b/>
          <w:bCs/>
        </w:rPr>
        <w:t xml:space="preserve">OEM / Lumanova data boundary:</w:t>
      </w:r>
      <w:r>
        <w:t xml:space="preserve"> </w:t>
      </w:r>
      <w:r>
        <w:t xml:space="preserve">formalize an auditable path as the partner program grows.</w:t>
      </w:r>
    </w:p>
    <w:p>
      <w:pPr>
        <w:pStyle w:val="Compact"/>
        <w:numPr>
          <w:ilvl w:val="0"/>
          <w:numId w:val="1087"/>
        </w:numPr>
      </w:pPr>
      <w:r>
        <w:rPr>
          <w:b/>
          <w:bCs/>
        </w:rPr>
        <w:t xml:space="preserve">Metric governance owner:</w:t>
      </w:r>
      <w:r>
        <w:t xml:space="preserve"> </w:t>
      </w:r>
      <w:r>
        <w:t xml:space="preserve">figures reconciled; assign a single owner.</w:t>
      </w:r>
    </w:p>
    <w:p>
      <w:pPr>
        <w:pStyle w:val="Compact"/>
        <w:numPr>
          <w:ilvl w:val="0"/>
          <w:numId w:val="1088"/>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9"/>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30"/>
    <w:bookmarkStart w:id="31" w:name="future-optional"/>
    <w:p>
      <w:pPr>
        <w:pStyle w:val="Heading2"/>
      </w:pPr>
      <w:r>
        <w:t xml:space="preserve">6. Future / optional</w:t>
      </w:r>
    </w:p>
    <w:p>
      <w:pPr>
        <w:pStyle w:val="Compact"/>
        <w:numPr>
          <w:ilvl w:val="0"/>
          <w:numId w:val="1090"/>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91"/>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92"/>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93"/>
        </w:numPr>
      </w:pPr>
      <w:r>
        <w:rPr>
          <w:b/>
          <w:bCs/>
        </w:rPr>
        <w:t xml:space="preserve">Paid acquisition</w:t>
      </w:r>
      <w:r>
        <w:t xml:space="preserve"> </w:t>
      </w:r>
      <w:r>
        <w:t xml:space="preserve">(Meta/Google): after domain warmup finishes.</w:t>
      </w:r>
    </w:p>
    <w:p>
      <w:pPr>
        <w:pStyle w:val="Compact"/>
        <w:numPr>
          <w:ilvl w:val="0"/>
          <w:numId w:val="1094"/>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5"/>
        </w:numPr>
      </w:pPr>
      <w:r>
        <w:rPr>
          <w:b/>
          <w:bCs/>
        </w:rPr>
        <w:t xml:space="preserve">Form embeds:</w:t>
      </w:r>
      <w:r>
        <w:t xml:space="preserve"> </w:t>
      </w:r>
      <w:r>
        <w:t xml:space="preserve">Commercial Inquiry + Partner Application forms onto go.enyrgy.com (developer).</w:t>
      </w:r>
    </w:p>
    <w:p>
      <w:pPr>
        <w:pStyle w:val="Compact"/>
        <w:numPr>
          <w:ilvl w:val="0"/>
          <w:numId w:val="1096"/>
        </w:numPr>
      </w:pPr>
      <w:r>
        <w:rPr>
          <w:b/>
          <w:bCs/>
        </w:rPr>
        <w:t xml:space="preserve">Upgrade the abandoned-checkout Railway service off trial</w:t>
      </w:r>
      <w:r>
        <w:t xml:space="preserve"> </w:t>
      </w:r>
      <w:r>
        <w:t xml:space="preserve">(may already be on Hobby; confirm).</w:t>
      </w:r>
    </w:p>
    <w:bookmarkEnd w:id="31"/>
    <w:bookmarkStart w:id="32" w:name="X99a4122416d3be25b3ec730ee1c5d273b04fea6"/>
    <w:p>
      <w:pPr>
        <w:pStyle w:val="Heading2"/>
      </w:pPr>
      <w:r>
        <w:t xml:space="preserve">6b. Content backup gap: CLOSED August 3, 2026</w:t>
      </w:r>
    </w:p>
    <w:p>
      <w:pPr>
        <w:pStyle w:val="Compact"/>
        <w:numPr>
          <w:ilvl w:val="0"/>
          <w:numId w:val="1097"/>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8"/>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9"/>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9"/>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9"/>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9"/>
        </w:numPr>
      </w:pPr>
      <w:r>
        <w:rPr>
          <w:b/>
          <w:bCs/>
        </w:rPr>
        <w:t xml:space="preserve">Secondary benefit:</w:t>
      </w:r>
      <w:r>
        <w:t xml:space="preserve"> </w:t>
      </w:r>
      <w:r>
        <w:t xml:space="preserve">makes the copy greppable, so subject lines and claims can be located and audited without clicking through GHL.</w:t>
      </w:r>
    </w:p>
    <w:bookmarkEnd w:id="32"/>
    <w:bookmarkStart w:id="33" w:name="documentation-hygiene"/>
    <w:p>
      <w:pPr>
        <w:pStyle w:val="Heading2"/>
      </w:pPr>
      <w:r>
        <w:t xml:space="preserve">7. Documentation hygiene</w:t>
      </w:r>
    </w:p>
    <w:p>
      <w:pPr>
        <w:numPr>
          <w:ilvl w:val="0"/>
          <w:numId w:val="1100"/>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101"/>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102"/>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103"/>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104"/>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5"/>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6"/>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7"/>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8"/>
        </w:numPr>
      </w:pPr>
      <w:r>
        <w:rPr>
          <w:b/>
          <w:bCs/>
        </w:rPr>
        <w:t xml:space="preserve">Campaign copy backed up:</w:t>
      </w:r>
      <w:r>
        <w:t xml:space="preserve"> </w:t>
      </w:r>
      <w:r>
        <w:t xml:space="preserve">see 6b. Standing Rule 9 added to the handoff, save the artifact and not a description of it.</w:t>
      </w:r>
    </w:p>
    <w:bookmarkEnd w:id="33"/>
    <w:bookmarkStart w:id="34" w:name="X4ef6576507d0fd69ab3954b626c150ac8397a60"/>
    <w:p>
      <w:pPr>
        <w:pStyle w:val="Heading2"/>
      </w:pPr>
      <w:r>
        <w:t xml:space="preserve">8. Standing operating discipline (adopted Session 15)</w:t>
      </w:r>
    </w:p>
    <w:p>
      <w:pPr>
        <w:pStyle w:val="Compact"/>
        <w:numPr>
          <w:ilvl w:val="0"/>
          <w:numId w:val="1109"/>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10"/>
        </w:numPr>
      </w:pPr>
      <w:r>
        <w:rPr>
          <w:b/>
          <w:bCs/>
        </w:rPr>
        <w:t xml:space="preserve">Keep credit buffered and watch the Costs page.</w:t>
      </w:r>
      <w:r>
        <w:t xml:space="preserve"> </w:t>
      </w:r>
      <w:r>
        <w:t xml:space="preserve">Starvation is more expensive than headroom, not cheaper.</w:t>
      </w:r>
    </w:p>
    <w:bookmarkEnd w:id="34"/>
    <w:bookmarkEnd w:id="35"/>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Master TODO </w:t>
    </w:r>
    <w:proofErr w:type="gramStart"/>
    <w:r>
      <w:rPr>
        <w:rFonts w:ascii="Montserrat" w:eastAsia="Montserrat" w:hAnsi="Montserrat" w:cs="Montserrat"/>
        <w:b/>
        <w:bCs/>
        <w:color w:val="E64C38"/>
        <w:sz w:val="18"/>
        <w:szCs w:val="18"/>
      </w:rPr>
      <w:t xml:space="preserve">v3.9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3"/>
  </w:num>
  <w:num w:numId="1058">
    <w:abstractNumId w:val="991"/>
  </w:num>
  <w:num w:numId="1059">
    <w:abstractNumId w:val="993"/>
  </w:num>
  <w:num w:numId="1060">
    <w:abstractNumId w:val="993"/>
  </w:num>
  <w:num w:numId="1061">
    <w:abstractNumId w:val="993"/>
  </w:num>
  <w:num w:numId="1062">
    <w:abstractNumId w:val="991"/>
  </w:num>
  <w:num w:numId="1063">
    <w:abstractNumId w:val="992"/>
  </w:num>
  <w:num w:numId="1064">
    <w:abstractNumId w:val="992"/>
  </w:num>
  <w:num w:numId="1065">
    <w:abstractNumId w:val="992"/>
  </w:num>
  <w:num w:numId="1066">
    <w:abstractNumId w:val="992"/>
  </w:num>
  <w:num w:numId="1067">
    <w:abstractNumId w:val="992"/>
  </w:num>
  <w:num w:numId="1068">
    <w:abstractNumId w:val="993"/>
  </w:num>
  <w:num w:numId="1069">
    <w:abstractNumId w:val="993"/>
  </w:num>
  <w:num w:numId="1070">
    <w:abstractNumId w:val="993"/>
  </w:num>
  <w:num w:numId="1071">
    <w:abstractNumId w:val="993"/>
  </w:num>
  <w:num w:numId="1072">
    <w:abstractNumId w:val="993"/>
  </w:num>
  <w:num w:numId="1073">
    <w:abstractNumId w:val="992"/>
  </w:num>
  <w:num w:numId="1074">
    <w:abstractNumId w:val="993"/>
  </w:num>
  <w:num w:numId="1075">
    <w:abstractNumId w:val="991"/>
  </w:num>
  <w:num w:numId="1076">
    <w:abstractNumId w:val="991"/>
  </w:num>
  <w:num w:numId="1077">
    <w:abstractNumId w:val="991"/>
  </w:num>
  <w:num w:numId="1078">
    <w:abstractNumId w:val="991"/>
  </w:num>
  <w:num w:numId="1079">
    <w:abstractNumId w:val="992"/>
  </w:num>
  <w:num w:numId="1080">
    <w:abstractNumId w:val="992"/>
  </w:num>
  <w:num w:numId="1081">
    <w:abstractNumId w:val="993"/>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3"/>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3"/>
  </w:num>
  <w:num w:numId="1098">
    <w:abstractNumId w:val="993"/>
  </w:num>
  <w:num w:numId="1099">
    <w:abstractNumId w:val="991"/>
  </w:num>
  <w:num w:numId="1100">
    <w:abstractNumId w:val="993"/>
  </w:num>
  <w:num w:numId="1101">
    <w:abstractNumId w:val="993"/>
  </w:num>
  <w:num w:numId="1102">
    <w:abstractNumId w:val="992"/>
  </w:num>
  <w:num w:numId="1103">
    <w:abstractNumId w:val="993"/>
  </w:num>
  <w:num w:numId="1104">
    <w:abstractNumId w:val="993"/>
  </w:num>
  <w:num w:numId="1105">
    <w:abstractNumId w:val="993"/>
  </w:num>
  <w:num w:numId="1106">
    <w:abstractNumId w:val="993"/>
  </w:num>
  <w:num w:numId="1107">
    <w:abstractNumId w:val="993"/>
  </w:num>
  <w:num w:numId="1108">
    <w:abstractNumId w:val="993"/>
  </w:num>
  <w:num w:numId="1109">
    <w:abstractNumId w:val="992"/>
  </w:num>
  <w:num w:numId="11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2026-09-04T00:03:04Z</dcterms:created>
  <dcterms:modified xsi:type="dcterms:W3CDTF">2026-09-04T00:03:04Z</dcterms:modified>
</cp:coreProperties>
</file>

<file path=docProps/custom.xml><?xml version="1.0" encoding="utf-8"?>
<Properties xmlns="http://schemas.openxmlformats.org/officeDocument/2006/custom-properties" xmlns:vt="http://schemas.openxmlformats.org/officeDocument/2006/docPropsVTypes"/>
</file>