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bCs/>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w:t>
      </w:r>
      <w:r>
        <w:t xml:space="preserve"> </w:t>
      </w:r>
      <w:r>
        <w:rPr>
          <w:b/>
          <w:bCs/>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Prevalence, the citable number. This supersedes the previously unsourced</w:t>
      </w:r>
      <w:r>
        <w:rPr>
          <w:b/>
          <w:bCs/>
        </w:rPr>
        <w:t xml:space="preserve"> </w:t>
      </w:r>
      <w:r>
        <w:rPr>
          <w:b/>
          <w:bCs/>
        </w:rPr>
        <w:t xml:space="preserve">“77 percent”</w:t>
      </w:r>
      <w:r>
        <w:rPr>
          <w:b/>
          <w:bCs/>
        </w:rPr>
        <w:t xml:space="preserve"> </w:t>
      </w:r>
      <w:r>
        <w:rPr>
          <w:b/>
          <w:bCs/>
        </w:rPr>
        <w:t xml:space="preserve">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w:t>
      </w:r>
      <w:r>
        <w:t xml:space="preserve"> </w:t>
      </w:r>
      <w:r>
        <w:t xml:space="preserve">“deficiency”</w:t>
      </w:r>
      <w:r>
        <w:t xml:space="preserve">. Never call 76.6 percent a deficiency rate. (2) The population is</w:t>
      </w:r>
      <w:r>
        <w:t xml:space="preserve"> </w:t>
      </w:r>
      <w:r>
        <w:rPr>
          <w:b/>
          <w:bCs/>
        </w:rPr>
        <w:t xml:space="preserve">global and aged 1 and over</w:t>
      </w:r>
      <w:r>
        <w:t xml:space="preserve">, so say</w:t>
      </w:r>
      <w:r>
        <w:t xml:space="preserve"> </w:t>
      </w:r>
      <w:r>
        <w:t xml:space="preserve">“people”</w:t>
      </w:r>
      <w:r>
        <w:t xml:space="preserve">, never</w:t>
      </w:r>
      <w:r>
        <w:t xml:space="preserve"> </w:t>
      </w:r>
      <w:r>
        <w:t xml:space="preserve">“adults”</w:t>
      </w:r>
      <w:r>
        <w:t xml:space="preserve">, never</w:t>
      </w:r>
      <w:r>
        <w:t xml:space="preserve"> </w:t>
      </w:r>
      <w:r>
        <w:t xml:space="preserve">“Americans”</w:t>
      </w:r>
      <w:r>
        <w:t xml:space="preserve">, never</w:t>
      </w:r>
      <w:r>
        <w:t xml:space="preserve"> </w:t>
      </w:r>
      <w:r>
        <w:t xml:space="preserve">“indoor”</w:t>
      </w:r>
      <w:r>
        <w:t xml:space="preserve">.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p>
      <w:pPr>
        <w:pStyle w:val="BodyText"/>
      </w:pPr>
      <w:r>
        <w:rPr>
          <w:b/>
          <w:bCs/>
        </w:rPr>
        <w:t xml:space="preserve">One exemption: the contraindication list in section 16.</w:t>
      </w:r>
      <w:r>
        <w:t xml:space="preserve"> </w:t>
      </w:r>
      <w:r>
        <w:t xml:space="preserve">It is a safety disclosure and must go out verbatim,</w:t>
      </w:r>
      <w:r>
        <w:t xml:space="preserve"> </w:t>
      </w:r>
      <w:r>
        <w:t xml:space="preserve">“diagnosed”</w:t>
      </w:r>
      <w:r>
        <w:t xml:space="preserve"> </w:t>
      </w:r>
      <w:r>
        <w:t xml:space="preserve">and all. Scrubbing it to pass this scan breaks it.</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23"/>
    <w:bookmarkStart w:id="24"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bookmarkEnd w:id="24"/>
    <w:bookmarkStart w:id="32" w:name="X3c8fab249a12745cd8b0fe4a60814613a930d17"/>
    <w:p>
      <w:pPr>
        <w:pStyle w:val="Heading2"/>
      </w:pPr>
      <w:r>
        <w:t xml:space="preserve">16. Contraindications and inbound health questions (safety, non-negotiable)</w:t>
      </w:r>
    </w:p>
    <w:p>
      <w:pPr>
        <w:pStyle w:val="FirstParagraph"/>
      </w:pPr>
      <w:r>
        <w:rPr>
          <w:b/>
          <w:bCs/>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bookmarkStart w:id="25" w:name="the-list-verbatim"/>
    <w:p>
      <w:pPr>
        <w:pStyle w:val="Heading3"/>
      </w:pPr>
      <w:r>
        <w:t xml:space="preserve">16.1 The list, verbatim</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16"/>
        </w:numPr>
      </w:pPr>
      <w:r>
        <w:t xml:space="preserve">Do not use if Pregnant</w:t>
      </w:r>
    </w:p>
    <w:p>
      <w:pPr>
        <w:pStyle w:val="Compact"/>
        <w:numPr>
          <w:ilvl w:val="0"/>
          <w:numId w:val="1016"/>
        </w:numPr>
      </w:pPr>
      <w:r>
        <w:t xml:space="preserve">Do not use if diagnosed with UV Light Sensitivity</w:t>
      </w:r>
    </w:p>
    <w:p>
      <w:pPr>
        <w:pStyle w:val="Compact"/>
        <w:numPr>
          <w:ilvl w:val="0"/>
          <w:numId w:val="1016"/>
        </w:numPr>
      </w:pPr>
      <w:r>
        <w:t xml:space="preserve">Do not use if on photosensitizing medication</w:t>
      </w:r>
    </w:p>
    <w:p>
      <w:pPr>
        <w:pStyle w:val="Compact"/>
        <w:numPr>
          <w:ilvl w:val="0"/>
          <w:numId w:val="1016"/>
        </w:numPr>
      </w:pPr>
      <w:r>
        <w:t xml:space="preserve">Do not use if diagnosed with HIV-AIDS</w:t>
      </w:r>
    </w:p>
    <w:p>
      <w:pPr>
        <w:pStyle w:val="Compact"/>
        <w:numPr>
          <w:ilvl w:val="0"/>
          <w:numId w:val="1016"/>
        </w:numPr>
      </w:pPr>
      <w:r>
        <w:t xml:space="preserve">Do not use if diagnosed with Active Skin Cancer</w:t>
      </w:r>
    </w:p>
    <w:p>
      <w:pPr>
        <w:pStyle w:val="Compact"/>
        <w:numPr>
          <w:ilvl w:val="0"/>
          <w:numId w:val="1016"/>
        </w:numPr>
      </w:pPr>
      <w:r>
        <w:t xml:space="preserve">Do not use if diagnosed with UV light sensitivities: Protoporphyria (EPP), UV-sensitive syndrome, Photodermatitis, Xeroderma pigmentosum (XP), Lupus erythematosus, or Actinic dermatitis</w:t>
      </w:r>
    </w:p>
    <w:p>
      <w:pPr>
        <w:pStyle w:val="Compact"/>
        <w:numPr>
          <w:ilvl w:val="0"/>
          <w:numId w:val="1016"/>
        </w:numPr>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bookmarkEnd w:id="25"/>
    <w:bookmarkStart w:id="26" w:name="Xfe5b76f7bdef9e74f6fe2238bfb78b1a0b0085c"/>
    <w:p>
      <w:pPr>
        <w:pStyle w:val="Heading3"/>
      </w:pPr>
      <w:r>
        <w:t xml:space="preserve">16.2 This list is exempt from the prohibited-words scan</w:t>
      </w:r>
    </w:p>
    <w:p>
      <w:pPr>
        <w:pStyle w:val="FirstParagraph"/>
      </w:pPr>
      <w:r>
        <w:t xml:space="preserve">The scan in section 11 blocks</w:t>
      </w:r>
      <w:r>
        <w:t xml:space="preserve"> </w:t>
      </w:r>
      <w:r>
        <w:t xml:space="preserve">“diagnose”</w:t>
      </w:r>
      <w:r>
        <w:t xml:space="preserve"> </w:t>
      </w:r>
      <w:r>
        <w:t xml:space="preserve">and</w:t>
      </w:r>
      <w:r>
        <w:t xml:space="preserve"> </w:t>
      </w:r>
      <w:r>
        <w:t xml:space="preserve">“disease”</w:t>
      </w:r>
      <w:r>
        <w:t xml:space="preserve"> </w:t>
      </w:r>
      <w:r>
        <w:t xml:space="preserve">in client-facing content. The contraindication list contains</w:t>
      </w:r>
      <w:r>
        <w:t xml:space="preserve"> </w:t>
      </w:r>
      <w:r>
        <w:t xml:space="preserve">“diagnosed”</w:t>
      </w:r>
      <w:r>
        <w:t xml:space="preserve"> </w:t>
      </w:r>
      <w:r>
        <w:t xml:space="preserve">five times by necessity, because naming the condition is the entire function of a safety disclosure.</w:t>
      </w:r>
      <w:r>
        <w:t xml:space="preserve"> </w:t>
      </w:r>
      <w:r>
        <w:rPr>
          <w:b/>
          <w:bCs/>
        </w:rPr>
        <w:t xml:space="preserve">An agent that scrubs those words to satisfy the scan breaks the disclosure.</w:t>
      </w:r>
      <w:r>
        <w:t xml:space="preserve"> </w:t>
      </w:r>
      <w:r>
        <w:t xml:space="preserve">Send it as written or do not send it. This is the only standing exemption to section 11.</w:t>
      </w:r>
    </w:p>
    <w:bookmarkEnd w:id="26"/>
    <w:bookmarkStart w:id="27" w:name="X7079cd488be367803663fc3ca74e1a7445ddb0b"/>
    <w:p>
      <w:pPr>
        <w:pStyle w:val="Heading3"/>
      </w:pPr>
      <w:r>
        <w:t xml:space="preserve">16.3 Photosensitizing medication is the item that carries real physical risk</w:t>
      </w:r>
    </w:p>
    <w:p>
      <w:pPr>
        <w:pStyle w:val="FirstParagraph"/>
      </w:pPr>
      <w:r>
        <w:t xml:space="preserve">The other entries describe conditions a person already knows they have. This one is different in two ways, and both matter.</w:t>
      </w:r>
    </w:p>
    <w:p>
      <w:pPr>
        <w:pStyle w:val="BodyText"/>
      </w:pPr>
      <w:r>
        <w:rPr>
          <w:b/>
          <w:bCs/>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bCs/>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bCs/>
        </w:rPr>
        <w:t xml:space="preserve">Do not cite the safety record in answer to a photosensitivity question.</w:t>
      </w:r>
      <w:r>
        <w:t xml:space="preserve"> </w:t>
      </w:r>
      <w:r>
        <w:t xml:space="preserve">Citing it there presents an unmeasured variable as a tested one.</w:t>
      </w:r>
    </w:p>
    <w:p>
      <w:pPr>
        <w:pStyle w:val="BodyText"/>
      </w:pPr>
      <w:r>
        <w:rPr>
          <w:b/>
          <w:bCs/>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w:t>
      </w:r>
      <w:r>
        <w:t xml:space="preserve"> </w:t>
      </w:r>
      <w:r>
        <w:t xml:space="preserve">“I stopped taking it”</w:t>
      </w:r>
      <w:r>
        <w:t xml:space="preserve"> </w:t>
      </w:r>
      <w:r>
        <w:t xml:space="preserve">is not the same as clear. That timing question also belongs to their physician, not to us.</w:t>
      </w:r>
    </w:p>
    <w:bookmarkEnd w:id="27"/>
    <w:bookmarkStart w:id="28" w:name="Xac8e472bf725badfd76b7f636b4a5d32aa584fa"/>
    <w:p>
      <w:pPr>
        <w:pStyle w:val="Heading3"/>
      </w:pPr>
      <w:r>
        <w:t xml:space="preserve">16.4 How an agent handles an inbound health question</w:t>
      </w:r>
    </w:p>
    <w:p>
      <w:pPr>
        <w:pStyle w:val="FirstParagraph"/>
      </w:pPr>
      <w:r>
        <w:t xml:space="preserve">Someone describing a condition, an injury, a medication, or an ongoing course of care is not a normal inquiry. Handle it this way, every time.</w:t>
      </w:r>
    </w:p>
    <w:p>
      <w:pPr>
        <w:pStyle w:val="Compact"/>
        <w:numPr>
          <w:ilvl w:val="0"/>
          <w:numId w:val="1017"/>
        </w:numPr>
      </w:pPr>
      <w:r>
        <w:rPr>
          <w:b/>
          <w:bCs/>
        </w:rPr>
        <w:t xml:space="preserve">Never clear anyone.</w:t>
      </w:r>
      <w:r>
        <w:t xml:space="preserve"> </w:t>
      </w:r>
      <w:r>
        <w:t xml:space="preserve">Do not say a person is fine, is probably fine, sounds fine, or that their situation is not on the list.</w:t>
      </w:r>
      <w:r>
        <w:t xml:space="preserve"> </w:t>
      </w:r>
      <w:r>
        <w:rPr>
          <w:b/>
          <w:bCs/>
        </w:rPr>
        <w:t xml:space="preserve">Absence from the list is not clearance</w:t>
      </w:r>
      <w:r>
        <w:t xml:space="preserve">, and an agent has no standing to grant it.</w:t>
      </w:r>
    </w:p>
    <w:p>
      <w:pPr>
        <w:pStyle w:val="Compact"/>
        <w:numPr>
          <w:ilvl w:val="0"/>
          <w:numId w:val="1017"/>
        </w:numPr>
      </w:pPr>
      <w:r>
        <w:rPr>
          <w:b/>
          <w:bCs/>
        </w:rPr>
        <w:t xml:space="preserve">Never reason outward from the list.</w:t>
      </w:r>
      <w:r>
        <w:t xml:space="preserve"> </w:t>
      </w:r>
      <w:r>
        <w:t xml:space="preserve">It names what it names. Do not infer that a related condition is safe because it is unnamed, or unsafe because it resembles one that is.</w:t>
      </w:r>
    </w:p>
    <w:p>
      <w:pPr>
        <w:pStyle w:val="Compact"/>
        <w:numPr>
          <w:ilvl w:val="0"/>
          <w:numId w:val="1017"/>
        </w:numPr>
      </w:pPr>
      <w:r>
        <w:rPr>
          <w:b/>
          <w:bCs/>
        </w:rPr>
        <w:t xml:space="preserve">Never suggest a schedule, a session length, or a dose for a health situation.</w:t>
      </w:r>
      <w:r>
        <w:t xml:space="preserve"> </w:t>
      </w:r>
      <w:r>
        <w:t xml:space="preserve">The app sets dose. We do not.</w:t>
      </w:r>
    </w:p>
    <w:p>
      <w:pPr>
        <w:pStyle w:val="Compact"/>
        <w:numPr>
          <w:ilvl w:val="0"/>
          <w:numId w:val="1017"/>
        </w:numPr>
      </w:pPr>
      <w:r>
        <w:rPr>
          <w:b/>
          <w:bCs/>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pStyle w:val="Compact"/>
        <w:numPr>
          <w:ilvl w:val="0"/>
          <w:numId w:val="1017"/>
        </w:numPr>
      </w:pPr>
      <w:r>
        <w:rPr>
          <w:b/>
          <w:bCs/>
        </w:rPr>
        <w:t xml:space="preserve">Do not solicit or record health details.</w:t>
      </w:r>
      <w:r>
        <w:t xml:space="preserve"> </w:t>
      </w:r>
      <w:r>
        <w:t xml:space="preserve">If they arrive unprompted, do not enter them in GHL custom fields, tags, or notes. Escalate the conversation instead.</w:t>
      </w:r>
    </w:p>
    <w:p>
      <w:pPr>
        <w:pStyle w:val="Compact"/>
        <w:numPr>
          <w:ilvl w:val="0"/>
          <w:numId w:val="1017"/>
        </w:numPr>
      </w:pPr>
      <w:r>
        <w:rPr>
          <w:b/>
          <w:bCs/>
        </w:rPr>
        <w:t xml:space="preserve">Give the list, name the physician conversation, stop there.</w:t>
      </w:r>
    </w:p>
    <w:p>
      <w:pPr>
        <w:pStyle w:val="Compact"/>
        <w:numPr>
          <w:ilvl w:val="0"/>
          <w:numId w:val="1017"/>
        </w:numPr>
      </w:pPr>
      <w:r>
        <w:rPr>
          <w:b/>
          <w:bCs/>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bookmarkEnd w:id="28"/>
    <w:bookmarkStart w:id="29" w:name="X3883c1d2206e10653c9889d2dfe957a08beb348"/>
    <w:p>
      <w:pPr>
        <w:pStyle w:val="Heading3"/>
      </w:pPr>
      <w:r>
        <w:t xml:space="preserve">16.5 Vitamin D non-response is not a contraindication</w:t>
      </w:r>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bCs/>
        </w:rPr>
        <w:t xml:space="preserve">This is a non-response caveat, not a safety exclusion.</w:t>
      </w:r>
      <w:r>
        <w:t xml:space="preserve"> </w:t>
      </w:r>
      <w:r>
        <w:t xml:space="preserve">Never phrase it as</w:t>
      </w:r>
      <w:r>
        <w:t xml:space="preserve"> </w:t>
      </w:r>
      <w:r>
        <w:t xml:space="preserve">“do not use if.”</w:t>
      </w:r>
      <w:r>
        <w:t xml:space="preserve"> </w:t>
      </w:r>
      <w:r>
        <w:t xml:space="preserve">It carries two implications worth stating plainly.</w:t>
      </w:r>
    </w:p>
    <w:p>
      <w:pPr>
        <w:pStyle w:val="Compact"/>
        <w:numPr>
          <w:ilvl w:val="0"/>
          <w:numId w:val="1018"/>
        </w:numPr>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pStyle w:val="Compact"/>
        <w:numPr>
          <w:ilvl w:val="0"/>
          <w:numId w:val="1018"/>
        </w:numPr>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bCs/>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bookmarkEnd w:id="29"/>
    <w:bookmarkStart w:id="30" w:name="use-on-intact-skin-only"/>
    <w:p>
      <w:pPr>
        <w:pStyle w:val="Heading3"/>
      </w:pPr>
      <w:r>
        <w:t xml:space="preserve">16.6 Use on intact skin only</w:t>
      </w:r>
    </w:p>
    <w:p>
      <w:pPr>
        <w:pStyle w:val="FirstParagraph"/>
      </w:pPr>
      <w:r>
        <w:rPr>
          <w:b/>
          <w:bCs/>
        </w:rPr>
        <w:t xml:space="preserve">Approved wording, use as written in every document and every reply:</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bCs/>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bookmarkEnd w:id="30"/>
    <w:bookmarkStart w:id="31" w:name="why-the-pacemaker-line-was-removed"/>
    <w:p>
      <w:pPr>
        <w:pStyle w:val="Heading3"/>
      </w:pPr>
      <w:r>
        <w:t xml:space="preserve">16.7 Why the pacemaker line was removed</w:t>
      </w:r>
    </w:p>
    <w:p>
      <w:pPr>
        <w:pStyle w:val="FirstParagraph"/>
      </w:pPr>
      <w:r>
        <w:rPr>
          <w:b/>
          <w:bCs/>
        </w:rPr>
        <w:t xml:space="preserve">No dermatological source supports the exclusion.</w:t>
      </w:r>
      <w:r>
        <w:t xml:space="preserve"> </w:t>
      </w:r>
      <w:r>
        <w:t xml:space="preserve">The 2019 joint AAD and NPF phototherapy guidelines (Elmets et al.,</w:t>
      </w:r>
      <w:r>
        <w:t xml:space="preserve"> </w:t>
      </w:r>
      <w:r>
        <w:rPr>
          <w:i/>
          <w:iCs/>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bCs/>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bCs/>
        </w:rPr>
        <w:t xml:space="preserve">What this does not mean, and the distinction agents must hold.</w:t>
      </w:r>
    </w:p>
    <w:p>
      <w:pPr>
        <w:pStyle w:val="Compact"/>
        <w:numPr>
          <w:ilvl w:val="0"/>
          <w:numId w:val="1019"/>
        </w:numPr>
      </w:pPr>
      <w:r>
        <w:rPr>
          <w:b/>
          <w:bCs/>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pStyle w:val="Compact"/>
        <w:numPr>
          <w:ilvl w:val="0"/>
          <w:numId w:val="1019"/>
        </w:numPr>
      </w:pPr>
      <w:r>
        <w:rPr>
          <w:b/>
          <w:bCs/>
        </w:rPr>
        <w:t xml:space="preserve">Never volunteer that the line was removed</w:t>
      </w:r>
      <w:r>
        <w:t xml:space="preserve">, and never present the removal as a safety finding. It is a correction to a list that carried an item without a basis.</w:t>
      </w:r>
    </w:p>
    <w:p>
      <w:pPr>
        <w:pStyle w:val="Compact"/>
        <w:numPr>
          <w:ilvl w:val="0"/>
          <w:numId w:val="1019"/>
        </w:numPr>
      </w:pPr>
      <w:r>
        <w:rPr>
          <w:b/>
          <w:bCs/>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i/>
          <w:iCs/>
        </w:rPr>
        <w:t xml:space="preserve">CONFIDENTIAL - Enyrgy Inc - 5115 N 27th Ave, Bld 66, Phoenix, AZ 85017 - enyrgy.com - Sunlight. Evolved.</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2026-08-24T15:23:32Z</dcterms:created>
  <dcterms:modified xsi:type="dcterms:W3CDTF">2026-08-24T15:23:32Z</dcterms:modified>
</cp:coreProperties>
</file>

<file path=docProps/custom.xml><?xml version="1.0" encoding="utf-8"?>
<Properties xmlns="http://schemas.openxmlformats.org/officeDocument/2006/custom-properties" xmlns:vt="http://schemas.openxmlformats.org/officeDocument/2006/docPropsVTypes"/>
</file>