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3.9.6</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4, 2026 · Version 3.9.6</w:t>
      </w:r>
    </w:p>
    <w:p>
      <w:pPr>
        <w:pStyle w:val="BodyText"/>
      </w:pPr>
      <w:r>
        <w:rPr>
          <w:b/>
          <w:bCs/>
        </w:rPr>
        <w:t xml:space="preserve">v3.9.7 Changes (Session 17, August 25, 2026):</w:t>
      </w:r>
      <w:r>
        <w:t xml:space="preserve"> </w:t>
      </w:r>
      <w:r>
        <w:t xml:space="preserve">Three weeks of drift closed.</w:t>
      </w:r>
      <w:r>
        <w:t xml:space="preserve"> </w:t>
      </w:r>
      <w:r>
        <w:rPr>
          <w:b/>
          <w:bCs/>
        </w:rPr>
        <w:t xml:space="preserve">The dealer deal registration system (WF-40 to WF-43, built August 19) was missing entirely</w:t>
      </w:r>
      <w:r>
        <w:t xml:space="preserve">, along with the Opportunity custom fields it runs on and the per-dealer form model; both are now in Section 12. Content rules in Section 14 gained the US English requirement and its enforcement gate, the tanning-bed rule, the corrected prevalence figure, the HSA/FSA phrasing lock, and a pointer to the new KB Section 16 on contraindications. Section 17 records the $10M current valuation. Section 18 gains an addendum table for everything sourced since v3.9.6. Section 19 documents the facility referral arrangement and its escalation rule. Section 1 finally applies the users-not-customers correction that v3.9.6 claimed.</w:t>
      </w:r>
      <w:r>
        <w:t xml:space="preserve"> </w:t>
      </w:r>
      <w:r>
        <w:rPr>
          <w:b/>
          <w:bCs/>
        </w:rPr>
        <w:t xml:space="preserve">Where a fact could not be sourced from the repository it is marked CONFIRM rather than guessed.</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Users</w:t>
            </w:r>
          </w:p>
        </w:tc>
        <w:tc>
          <w:tcPr/>
          <w:p>
            <w:pPr>
              <w:pStyle w:val="Compact"/>
              <w:jc w:val="left"/>
            </w:pPr>
            <w:r>
              <w:t xml:space="preserve">600+</w:t>
            </w:r>
          </w:p>
        </w:tc>
        <w:tc>
          <w:tcPr/>
          <w:p>
            <w:pPr>
              <w:pStyle w:val="Compact"/>
              <w:jc w:val="left"/>
            </w:pPr>
            <w:r>
              <w:t xml:space="preserve">Organic growth, zero paid advertising to date.</w:t>
            </w:r>
            <w:r>
              <w:t xml:space="preserve"> </w:t>
            </w:r>
            <w:r>
              <w:rPr>
                <w:b/>
                <w:bCs/>
              </w:rPr>
              <w:t xml:space="preserve">Say users, not customers</w:t>
            </w:r>
            <w:r>
              <w:t xml:space="preserve">: a home unit supports up to six users, so the two are not interchangeable and</w:t>
            </w:r>
            <w:r>
              <w:t xml:space="preserve"> </w:t>
            </w:r>
            <w:r>
              <w:t xml:space="preserve">“600+ customers”</w:t>
            </w:r>
            <w:r>
              <w:t xml:space="preserve"> </w:t>
            </w:r>
            <w:r>
              <w:t xml:space="preserve">overstates unit sales.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Style w:val="Table"/>
        <w:tblW w:type="pct" w:w="491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Style w:val="Table"/>
        <w:tblW w:type="pct" w:w="492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Style w:val="Table"/>
        <w:tblW w:type="pct" w:w="4906"/>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Style w:val="Table"/>
        <w:tblW w:type="pct" w:w="489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Style w:val="Table"/>
        <w:tblW w:type="pct" w:w="489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Style w:val="Table"/>
        <w:tblW w:type="pct" w:w="488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Style w:val="Table"/>
        <w:tblW w:type="pct" w:w="487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Style w:val="Table"/>
        <w:tblW w:type="pct" w:w="487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43"/>
    <w:bookmarkStart w:id="44" w:name="section-10-pipelines"/>
    <w:p>
      <w:pPr>
        <w:pStyle w:val="Heading1"/>
      </w:pPr>
      <w:r>
        <w:t xml:space="preserve">SECTION 10: PIPELINES</w:t>
      </w:r>
    </w:p>
    <w:tbl>
      <w:tblPr>
        <w:tblStyle w:val="Table"/>
        <w:tblW w:type="pct" w:w="495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w:t>
            </w:r>
          </w:p>
        </w:tc>
        <w:tc>
          <w:tcPr/>
          <w:p>
            <w:pPr>
              <w:pStyle w:val="Compact"/>
              <w:jc w:val="left"/>
            </w:pPr>
            <w:r>
              <w:t xml:space="preserve">New Lead -&gt; Website Visit -&gt; Drip Active -&gt; Discovery Call -&gt; Demo Education -&gt; Order Financing -&gt; Ordered -&gt; Unit Shipped -&gt; User Activated -&gt; Active Customer</w:t>
            </w:r>
          </w:p>
        </w:tc>
      </w:tr>
      <w:tr>
        <w:tc>
          <w:tcPr/>
          <w:p>
            <w:pPr>
              <w:pStyle w:val="Compact"/>
              <w:jc w:val="left"/>
            </w:pPr>
            <w:r>
              <w:t xml:space="preserve">2 Commercial B2B Pipeline</w:t>
            </w:r>
          </w:p>
        </w:tc>
        <w:tc>
          <w:tcPr/>
          <w:p>
            <w:pPr>
              <w:pStyle w:val="Compact"/>
              <w:jc w:val="left"/>
            </w:pPr>
            <w:r>
              <w:t xml:space="preserve">Registration Submitted -&gt; Conflict Check -&gt; Prospect -&gt; Drip Active -&gt; Discovery -&gt; Proposal -&gt; Negotiation -&gt; Contract Signed -&gt; Unit Shipped -&gt; User Activated -&gt; Installation -&gt; Training</w:t>
            </w:r>
            <w:r>
              <w:t xml:space="preserve"> </w:t>
            </w:r>
            <w:r>
              <w:t xml:space="preserve">Scheduled -&gt; Training Complete -&gt; Active Customer</w:t>
            </w:r>
          </w:p>
        </w:tc>
      </w:tr>
      <w:tr>
        <w:tc>
          <w:tcPr/>
          <w:p>
            <w:pPr>
              <w:pStyle w:val="Compact"/>
              <w:jc w:val="left"/>
            </w:pPr>
            <w:r>
              <w:t xml:space="preserve">3 Investor ($3.5M Raise)</w:t>
            </w:r>
          </w:p>
        </w:tc>
        <w:tc>
          <w:tcPr/>
          <w:p>
            <w:pPr>
              <w:pStyle w:val="Compact"/>
              <w:jc w:val="left"/>
            </w:pPr>
            <w:r>
              <w:t xml:space="preserve">Identified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p>
      <w:pPr>
        <w:pStyle w:val="BodyText"/>
      </w:pPr>
      <w:r>
        <w:rPr>
          <w:b/>
          <w:bCs/>
        </w:rPr>
        <w:t xml:space="preserve">Stage probability is set deliberately, not by the default ladder.</w:t>
      </w:r>
      <w:r>
        <w:t xml:space="preserve"> </w:t>
      </w:r>
      <w:r>
        <w:t xml:space="preserve">GoHighLevel assigns probability by stage position when a pipeline is built, which spreads stages evenly from 0 to 100 and produces nonsense at both ends. Both revenue pipelines were corrected on 2026-08-18.</w:t>
      </w:r>
    </w:p>
    <w:p>
      <w:pPr>
        <w:pStyle w:val="BodyText"/>
      </w:pPr>
      <w:r>
        <w:t xml:space="preserve">The rule: probability is the chance of</w:t>
      </w:r>
      <w:r>
        <w:t xml:space="preserve"> </w:t>
      </w:r>
      <w:r>
        <w:rPr>
          <w:i/>
          <w:iCs/>
        </w:rPr>
        <w:t xml:space="preserve">winning</w:t>
      </w:r>
      <w:r>
        <w:t xml:space="preserve">, so it climbs through the sales stages and hits 100 at the point money is committed. Everything after that point is fulfillment, not forecast, and stays at 100.</w:t>
      </w:r>
    </w:p>
    <w:p>
      <w:pPr>
        <w:pStyle w:val="Compact"/>
        <w:numPr>
          <w:ilvl w:val="0"/>
          <w:numId w:val="1006"/>
        </w:numPr>
      </w:pPr>
      <w:r>
        <w:rPr>
          <w:b/>
          <w:bCs/>
        </w:rPr>
        <w:t xml:space="preserve">Commercial B2B:</w:t>
      </w:r>
      <w:r>
        <w:t xml:space="preserve"> </w:t>
      </w:r>
      <w:r>
        <w:t xml:space="preserve">Registration Submitted 0, Conflict Check 0, Prospect 5, Drip Active 10, Discovery 25, Proposal 50, Negotiation 75, then</w:t>
      </w:r>
      <w:r>
        <w:t xml:space="preserve"> </w:t>
      </w:r>
      <w:r>
        <w:rPr>
          <w:b/>
          <w:bCs/>
        </w:rPr>
        <w:t xml:space="preserve">Contract Signed 100</w:t>
      </w:r>
      <w:r>
        <w:t xml:space="preserve"> </w:t>
      </w:r>
      <w:r>
        <w:t xml:space="preserve">and every stage after it 100.</w:t>
      </w:r>
    </w:p>
    <w:p>
      <w:pPr>
        <w:pStyle w:val="Compact"/>
        <w:numPr>
          <w:ilvl w:val="0"/>
          <w:numId w:val="1006"/>
        </w:numPr>
      </w:pPr>
      <w:r>
        <w:rPr>
          <w:b/>
          <w:bCs/>
        </w:rPr>
        <w:t xml:space="preserve">Consumer:</w:t>
      </w:r>
      <w:r>
        <w:t xml:space="preserve"> </w:t>
      </w:r>
      <w:r>
        <w:t xml:space="preserve">New Lead 5, Website Visit 10, Drip Active 15, Discovery Call 30, Demo Education 45, Order Financing 70, then</w:t>
      </w:r>
      <w:r>
        <w:t xml:space="preserve"> </w:t>
      </w:r>
      <w:r>
        <w:rPr>
          <w:b/>
          <w:bCs/>
        </w:rPr>
        <w:t xml:space="preserve">Ordered 100</w:t>
      </w:r>
      <w:r>
        <w:t xml:space="preserve"> </w:t>
      </w:r>
      <w:r>
        <w:t xml:space="preserve">and every stage after it 100.</w:t>
      </w:r>
    </w:p>
    <w:p>
      <w:pPr>
        <w:pStyle w:val="FirstParagraph"/>
      </w:pPr>
      <w:r>
        <w:t xml:space="preserve">Registration Submitted and Conflict Check are also excluded from the funnel and pie charts. A dealer submission that has not cleared the conflict check is not a deal, and counting it distorts every conversion rate downstream.</w:t>
      </w:r>
    </w:p>
    <w:p>
      <w:pPr>
        <w:pStyle w:val="BodyText"/>
      </w:pPr>
      <w:r>
        <w:t xml:space="preserve">Stage and status are separate fields. A deal at Contract Signed still sits in the forecast until its</w:t>
      </w:r>
      <w:r>
        <w:t xml:space="preserve"> </w:t>
      </w:r>
      <w:r>
        <w:rPr>
          <w:b/>
          <w:bCs/>
        </w:rPr>
        <w:t xml:space="preserve">Status</w:t>
      </w:r>
      <w:r>
        <w:t xml:space="preserve"> </w:t>
      </w:r>
      <w:r>
        <w:t xml:space="preserve">flips to Won, so the close workflow sets both.</w:t>
      </w:r>
    </w:p>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7"/>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7"/>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7"/>
        </w:numPr>
      </w:pPr>
      <w:r>
        <w:t xml:space="preserve">Apply drip_bypass + investor_warm to skip cold drip and enroll in the warm sequence.</w:t>
      </w:r>
    </w:p>
    <w:p>
      <w:pPr>
        <w:numPr>
          <w:ilvl w:val="0"/>
          <w:numId w:val="1007"/>
        </w:numPr>
      </w:pPr>
      <w:r>
        <w:t xml:space="preserve">Apply drip_bypass alone to skip all drip enrollment for manually managed contacts.</w:t>
      </w:r>
    </w:p>
    <w:p>
      <w:pPr>
        <w:numPr>
          <w:ilvl w:val="0"/>
          <w:numId w:val="1007"/>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Style w:val="Table"/>
        <w:tblW w:type="pct" w:w="492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9" w:name="section-12-core-workflows"/>
    <w:p>
      <w:pPr>
        <w:pStyle w:val="Heading1"/>
      </w:pPr>
      <w:r>
        <w:t xml:space="preserve">SECTION 12: CORE WORKFLOWS</w:t>
      </w:r>
    </w:p>
    <w:bookmarkStart w:id="51" w:name="wf-01-through-wf-10"/>
    <w:p>
      <w:pPr>
        <w:pStyle w:val="Heading2"/>
      </w:pPr>
      <w:r>
        <w:t xml:space="preserve">WF-01 through WF-10</w:t>
      </w:r>
    </w:p>
    <w:tbl>
      <w:tblPr>
        <w:tblStyle w:val="Table"/>
        <w:tblW w:type="pct" w:w="493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Style w:val="Table"/>
        <w:tblW w:type="pct" w:w="493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d435e32d4d50adbb3dde89b2f7d1b6ee32f88d"/>
    <w:p>
      <w:pPr>
        <w:pStyle w:val="Heading2"/>
      </w:pPr>
      <w:r>
        <w:t xml:space="preserve">WF-21 through WF-29 (added Sessions 9 to 11,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p>
      <w:pPr>
        <w:pStyle w:val="BodyText"/>
      </w:pPr>
      <w:r>
        <w:rPr>
          <w:b/>
          <w:bCs/>
        </w:rPr>
        <w:t xml:space="preserve">Numbering gaps, resolved.</w:t>
      </w:r>
      <w:r>
        <w:t xml:space="preserve"> </w:t>
      </w:r>
      <w:r>
        <w:rPr>
          <w:b/>
          <w:bCs/>
        </w:rPr>
        <w:t xml:space="preserve">WF-23, WF-24 and WF-36 to WF-39 do not exist.</w:t>
      </w:r>
      <w:r>
        <w:t xml:space="preserve"> </w:t>
      </w:r>
      <w:r>
        <w:t xml:space="preserve">The numbers were skipped when the blocks were allocated (confirmed by Scott, 2026-08-25). Nothing is missing from this register, and nobody should go looking for them in the live account. The dealer registration block starts at WF-40.</w:t>
      </w:r>
    </w:p>
    <w:bookmarkEnd w:id="53"/>
    <w:bookmarkStart w:id="54" w:name="X9810ec7f62b2338d56466c983e3d36a26fc107d"/>
    <w:p>
      <w:pPr>
        <w:pStyle w:val="Heading2"/>
      </w:pPr>
      <w:r>
        <w:t xml:space="preserve">WF-30 through WF-35 (added Sessions 15 and 16)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4"/>
    <w:bookmarkStart w:id="55" w:name="X3c4738bc9843a482d60919c864badabe81e6734"/>
    <w:p>
      <w:pPr>
        <w:pStyle w:val="Heading2"/>
      </w:pPr>
      <w:r>
        <w:t xml:space="preserve">WF-40 through WF-43 (Dealer Deal Registration, built August 19, 2026)</w:t>
      </w:r>
    </w:p>
    <w:p>
      <w:pPr>
        <w:pStyle w:val="FirstParagraph"/>
      </w:pPr>
      <w:r>
        <w:t xml:space="preserve">The commercial dealer program. Dealers resell the $8,950 commercial unit and earn 25 to 16 percent on the final sale price.</w:t>
      </w:r>
      <w:r>
        <w:t xml:space="preserve"> </w:t>
      </w:r>
      <w:r>
        <w:rPr>
          <w:b/>
          <w:bCs/>
        </w:rPr>
        <w:t xml:space="preserve">This is a different program from the facility referral arrangement in Section 19</w:t>
      </w:r>
      <w:r>
        <w:t xml:space="preserve">: different product, different terms, different people.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WF-40 Dealer Registration Received</w:t>
            </w:r>
          </w:p>
        </w:tc>
        <w:tc>
          <w:tcPr/>
          <w:p>
            <w:pPr>
              <w:pStyle w:val="Compact"/>
            </w:pPr>
            <w:r>
              <w:rPr>
                <w:b/>
                <w:bCs/>
              </w:rPr>
              <w:t xml:space="preserve">Form is any of</w:t>
            </w:r>
            <w:r>
              <w:t xml:space="preserve"> </w:t>
            </w:r>
            <w:r>
              <w:t xml:space="preserve">(one entry per dealer form)</w:t>
            </w:r>
          </w:p>
        </w:tc>
        <w:tc>
          <w:tcPr/>
          <w:p>
            <w:pPr>
              <w:pStyle w:val="Compact"/>
            </w:pPr>
            <w:r>
              <w:t xml:space="preserve">Create the opportunity, tag it, set</w:t>
            </w:r>
            <w:r>
              <w:t xml:space="preserve"> </w:t>
            </w:r>
            <w:r>
              <w:rPr>
                <w:rStyle w:val="VerbatimChar"/>
              </w:rPr>
              <w:t xml:space="preserve">Source Type = Dealer</w:t>
            </w:r>
            <w:r>
              <w:t xml:space="preserve">, apply</w:t>
            </w:r>
            <w:r>
              <w:t xml:space="preserve"> </w:t>
            </w:r>
            <w:r>
              <w:rPr>
                <w:rStyle w:val="VerbatimChar"/>
              </w:rPr>
              <w:t xml:space="preserve">no_route</w:t>
            </w:r>
            <w:r>
              <w:t xml:space="preserve">, alert Scott</w:t>
            </w:r>
          </w:p>
        </w:tc>
        <w:tc>
          <w:tcPr/>
          <w:p>
            <w:pPr>
              <w:pStyle w:val="Compact"/>
            </w:pPr>
            <w:r>
              <w:rPr>
                <w:b/>
                <w:bCs/>
              </w:rPr>
              <w:t xml:space="preserve">The trigger list is the single point of failure in the whole system.</w:t>
            </w:r>
            <w:r>
              <w:t xml:space="preserve"> </w:t>
            </w:r>
            <w:r>
              <w:t xml:space="preserve">A new dealer form that is not added here fails silently: the opportunity lands in</w:t>
            </w:r>
            <w:r>
              <w:t xml:space="preserve"> </w:t>
            </w:r>
            <w:r>
              <w:rPr>
                <w:rStyle w:val="VerbatimChar"/>
              </w:rPr>
              <w:t xml:space="preserve">Registration Submitted</w:t>
            </w:r>
            <w:r>
              <w:t xml:space="preserve"> </w:t>
            </w:r>
            <w:r>
              <w:t xml:space="preserve">with no tag, no Source Type and no alert, and the facility is not protected from consumer drip because</w:t>
            </w:r>
            <w:r>
              <w:t xml:space="preserve"> </w:t>
            </w:r>
            <w:r>
              <w:rPr>
                <w:rStyle w:val="VerbatimChar"/>
              </w:rPr>
              <w:t xml:space="preserve">no_route</w:t>
            </w:r>
            <w:r>
              <w:t xml:space="preserve"> </w:t>
            </w:r>
            <w:r>
              <w:t xml:space="preserve">never lands. See</w:t>
            </w:r>
            <w:r>
              <w:t xml:space="preserve"> </w:t>
            </w:r>
            <w:r>
              <w:rPr>
                <w:rStyle w:val="VerbatimChar"/>
              </w:rPr>
              <w:t xml:space="preserve">campaigns/dealer-onboarding.md</w:t>
            </w:r>
            <w:r>
              <w:t xml:space="preserve">.</w:t>
            </w:r>
          </w:p>
        </w:tc>
      </w:tr>
      <w:tr>
        <w:tc>
          <w:tcPr/>
          <w:p>
            <w:pPr>
              <w:pStyle w:val="Compact"/>
            </w:pPr>
            <w:r>
              <w:t xml:space="preserve">WF-41 Dealer Registration Approved</w:t>
            </w:r>
          </w:p>
        </w:tc>
        <w:tc>
          <w:tcPr/>
          <w:p>
            <w:pPr>
              <w:pStyle w:val="Compact"/>
            </w:pPr>
            <w:r>
              <w:rPr>
                <w:b/>
                <w:bCs/>
              </w:rPr>
              <w:t xml:space="preserve">Pipeline Stage Changed</w:t>
            </w:r>
            <w:r>
              <w:t xml:space="preserve">, Commercial B2B Pipeline, stage</w:t>
            </w:r>
            <w:r>
              <w:t xml:space="preserve"> </w:t>
            </w:r>
            <w:r>
              <w:rPr>
                <w:rStyle w:val="VerbatimChar"/>
              </w:rPr>
              <w:t xml:space="preserve">Prospect</w:t>
            </w:r>
            <w:r>
              <w:t xml:space="preserve"> </w:t>
            </w:r>
            <w:r>
              <w:t xml:space="preserve">(plus one further condition)</w:t>
            </w:r>
          </w:p>
        </w:tc>
        <w:tc>
          <w:tcPr/>
          <w:p>
            <w:pPr>
              <w:pStyle w:val="Compact"/>
            </w:pPr>
            <w:r>
              <w:t xml:space="preserve">Confirm the registration to the dealer, but only if the clock was actually started</w:t>
            </w:r>
          </w:p>
        </w:tc>
        <w:tc>
          <w:tcPr/>
          <w:p>
            <w:pPr>
              <w:pStyle w:val="Compact"/>
            </w:pPr>
            <w:r>
              <w:t xml:space="preserve">If/Else</w:t>
            </w:r>
            <w:r>
              <w:t xml:space="preserve"> </w:t>
            </w:r>
            <w:r>
              <w:rPr>
                <w:rStyle w:val="VerbatimChar"/>
              </w:rPr>
              <w:t xml:space="preserve">Has the expiry date been set?</w:t>
            </w:r>
            <w:r>
              <w:t xml:space="preserve"> </w:t>
            </w:r>
            <w:r>
              <w:t xml:space="preserve">on</w:t>
            </w:r>
            <w:r>
              <w:t xml:space="preserve"> </w:t>
            </w:r>
            <w:r>
              <w:rPr>
                <w:rStyle w:val="VerbatimChar"/>
              </w:rPr>
              <w:t xml:space="preserve">Exclusivity Expires</w:t>
            </w:r>
            <w:r>
              <w:t xml:space="preserve">.</w:t>
            </w:r>
            <w:r>
              <w:t xml:space="preserve"> </w:t>
            </w:r>
            <w:r>
              <w:rPr>
                <w:b/>
                <w:bCs/>
              </w:rPr>
              <w:t xml:space="preserve">Date is set</w:t>
            </w:r>
            <w:r>
              <w:t xml:space="preserve"> </w:t>
            </w:r>
            <w:r>
              <w:t xml:space="preserve">branch sends</w:t>
            </w:r>
            <w:r>
              <w:t xml:space="preserve"> </w:t>
            </w:r>
            <w:r>
              <w:rPr>
                <w:rStyle w:val="VerbatimChar"/>
              </w:rPr>
              <w:t xml:space="preserve">Confirm registration to dealer</w:t>
            </w:r>
            <w:r>
              <w:t xml:space="preserve">.</w:t>
            </w:r>
            <w:r>
              <w:t xml:space="preserve"> </w:t>
            </w:r>
            <w:r>
              <w:rPr>
                <w:b/>
                <w:bCs/>
              </w:rPr>
              <w:t xml:space="preserve">None</w:t>
            </w:r>
            <w:r>
              <w:t xml:space="preserve"> </w:t>
            </w:r>
            <w:r>
              <w:t xml:space="preserve">branch sends an internal notification instead.</w:t>
            </w:r>
            <w:r>
              <w:t xml:space="preserve"> </w:t>
            </w:r>
            <w:r>
              <w:rPr>
                <w:b/>
                <w:bCs/>
              </w:rPr>
              <w:t xml:space="preserve">This is a deliberate guard:</w:t>
            </w:r>
            <w:r>
              <w:t xml:space="preserve"> </w:t>
            </w:r>
            <w:r>
              <w:t xml:space="preserve">a registration confirmed to a dealer without an expiry date is a claim with no clock, so the workflow refuses to confirm it and tells a human.</w:t>
            </w:r>
          </w:p>
        </w:tc>
      </w:tr>
      <w:tr>
        <w:tc>
          <w:tcPr/>
          <w:p>
            <w:pPr>
              <w:pStyle w:val="Compact"/>
            </w:pPr>
            <w:r>
              <w:t xml:space="preserve">WF-42 Registration Expiry</w:t>
            </w:r>
          </w:p>
        </w:tc>
        <w:tc>
          <w:tcPr/>
          <w:p>
            <w:pPr>
              <w:pStyle w:val="Compact"/>
            </w:pPr>
            <w:r>
              <w:t xml:space="preserve">Wait 76 days, then Wait 14 days, gated on</w:t>
            </w:r>
            <w:r>
              <w:t xml:space="preserve"> </w:t>
            </w:r>
            <w:r>
              <w:rPr>
                <w:rStyle w:val="VerbatimChar"/>
              </w:rPr>
              <w:t xml:space="preserve">Opportunity status is Open</w:t>
            </w:r>
          </w:p>
        </w:tc>
        <w:tc>
          <w:tcPr/>
          <w:p>
            <w:pPr>
              <w:pStyle w:val="Compact"/>
            </w:pPr>
            <w:r>
              <w:t xml:space="preserve">Warn before a 90 day registration lapses, then close it out</w:t>
            </w:r>
          </w:p>
        </w:tc>
        <w:tc>
          <w:tcPr/>
          <w:p>
            <w:pPr>
              <w:pStyle w:val="Compact"/>
            </w:pPr>
            <w:r>
              <w:t xml:space="preserve">Built on Wait steps rather than date reminders, because</w:t>
            </w:r>
            <w:r>
              <w:t xml:space="preserve"> </w:t>
            </w:r>
            <w:r>
              <w:rPr>
                <w:b/>
                <w:bCs/>
              </w:rPr>
              <w:t xml:space="preserve">GHL date reminders are contact-only and a registration lives on the opportunity</w:t>
            </w:r>
            <w:r>
              <w:t xml:space="preserve">.</w:t>
            </w:r>
          </w:p>
        </w:tc>
      </w:tr>
      <w:tr>
        <w:tc>
          <w:tcPr/>
          <w:p>
            <w:pPr>
              <w:pStyle w:val="Compact"/>
            </w:pPr>
            <w:r>
              <w:t xml:space="preserve">WF-43 Dealer Commission at Close</w:t>
            </w:r>
          </w:p>
        </w:tc>
        <w:tc>
          <w:tcPr/>
          <w:p>
            <w:pPr>
              <w:pStyle w:val="Compact"/>
            </w:pPr>
            <w:r>
              <w:rPr>
                <w:b/>
                <w:bCs/>
              </w:rPr>
              <w:t xml:space="preserve">Pipeline Stage Changed</w:t>
            </w:r>
            <w:r>
              <w:t xml:space="preserve">, Commercial B2B Pipeline, reached</w:t>
            </w:r>
            <w:r>
              <w:t xml:space="preserve"> </w:t>
            </w:r>
            <w:r>
              <w:rPr>
                <w:rStyle w:val="VerbatimChar"/>
              </w:rPr>
              <w:t xml:space="preserve">Contract Signed</w:t>
            </w:r>
            <w:r>
              <w:t xml:space="preserve"> </w:t>
            </w:r>
            <w:r>
              <w:t xml:space="preserve">(plus one further condition)</w:t>
            </w:r>
          </w:p>
        </w:tc>
        <w:tc>
          <w:tcPr/>
          <w:p>
            <w:pPr>
              <w:pStyle w:val="Compact"/>
            </w:pPr>
            <w:r>
              <w:t xml:space="preserve">Mark the deal Won, set the commission tier from the agreed price, alert Scott</w:t>
            </w:r>
          </w:p>
        </w:tc>
        <w:tc>
          <w:tcPr/>
          <w:p>
            <w:pPr>
              <w:pStyle w:val="Compact"/>
            </w:pPr>
            <w:r>
              <w:rPr>
                <w:b/>
                <w:bCs/>
              </w:rPr>
              <w:t xml:space="preserve">Mark as Won runs first</w:t>
            </w:r>
            <w:r>
              <w:t xml:space="preserve">, which is what closes the stage-versus-status gap described in Section 10. Then If/Else</w:t>
            </w:r>
            <w:r>
              <w:t xml:space="preserve"> </w:t>
            </w:r>
            <w:r>
              <w:rPr>
                <w:rStyle w:val="VerbatimChar"/>
              </w:rPr>
              <w:t xml:space="preserve">Which commission tier?</w:t>
            </w:r>
            <w:r>
              <w:t xml:space="preserve"> </w:t>
            </w:r>
            <w:r>
              <w:t xml:space="preserve">branches on</w:t>
            </w:r>
            <w:r>
              <w:t xml:space="preserve"> </w:t>
            </w:r>
            <w:r>
              <w:rPr>
                <w:rStyle w:val="VerbatimChar"/>
              </w:rPr>
              <w:t xml:space="preserve">Agreed Sale Price</w:t>
            </w:r>
            <w:r>
              <w:t xml:space="preserve"> </w:t>
            </w:r>
            <w:r>
              <w:t xml:space="preserve">into 25, 20 and 16 percent, each setting the tier and alerting Scott that commission is payable.</w:t>
            </w:r>
            <w:r>
              <w:t xml:space="preserve"> </w:t>
            </w:r>
            <w:r>
              <w:rPr>
                <w:b/>
                <w:bCs/>
              </w:rPr>
              <w:t xml:space="preserve">The None branch is the safety net:</w:t>
            </w:r>
            <w:r>
              <w:t xml:space="preserve"> </w:t>
            </w:r>
            <w:r>
              <w:t xml:space="preserve">a price below the MAP floor is flagged as below MAP, no commission is set, and Scott is alerted separately.</w:t>
            </w:r>
          </w:p>
        </w:tc>
      </w:tr>
    </w:tbl>
    <w:p>
      <w:pPr>
        <w:pStyle w:val="BodyText"/>
      </w:pPr>
      <w:r>
        <w:rPr>
          <w:b/>
          <w:bCs/>
        </w:rPr>
        <w:t xml:space="preserve">The four workflows hang off Commercial B2B pipeline stage changes.</w:t>
      </w:r>
      <w:r>
        <w:t xml:space="preserve"> </w:t>
      </w:r>
      <w:r>
        <w:t xml:space="preserve">A registration arrives at</w:t>
      </w:r>
      <w:r>
        <w:t xml:space="preserve"> </w:t>
      </w:r>
      <w:r>
        <w:rPr>
          <w:rStyle w:val="VerbatimChar"/>
        </w:rPr>
        <w:t xml:space="preserve">Registration Submitted</w:t>
      </w:r>
      <w:r>
        <w:t xml:space="preserve"> </w:t>
      </w:r>
      <w:r>
        <w:t xml:space="preserve">(WF-40). Someone works the</w:t>
      </w:r>
      <w:r>
        <w:t xml:space="preserve"> </w:t>
      </w:r>
      <w:r>
        <w:rPr>
          <w:rStyle w:val="VerbatimChar"/>
        </w:rPr>
        <w:t xml:space="preserve">Conflict Check</w:t>
      </w:r>
      <w:r>
        <w:t xml:space="preserve"> </w:t>
      </w:r>
      <w:r>
        <w:t xml:space="preserve">stage by hand. Moving the opportunity to</w:t>
      </w:r>
      <w:r>
        <w:t xml:space="preserve"> </w:t>
      </w:r>
      <w:r>
        <w:rPr>
          <w:rStyle w:val="VerbatimChar"/>
        </w:rPr>
        <w:t xml:space="preserve">Prospect</w:t>
      </w:r>
      <w:r>
        <w:t xml:space="preserve"> </w:t>
      </w:r>
      <w:r>
        <w:t xml:space="preserve">is what signals the registration is approved, and that stage change fires WF-41. The 90 day clock then runs while the deal works through</w:t>
      </w:r>
      <w:r>
        <w:t xml:space="preserve"> </w:t>
      </w:r>
      <w:r>
        <w:rPr>
          <w:rStyle w:val="VerbatimChar"/>
        </w:rPr>
        <w:t xml:space="preserve">Discovery</w:t>
      </w:r>
      <w:r>
        <w:t xml:space="preserve"> </w:t>
      </w:r>
      <w:r>
        <w:t xml:space="preserve">to</w:t>
      </w:r>
      <w:r>
        <w:t xml:space="preserve"> </w:t>
      </w:r>
      <w:r>
        <w:rPr>
          <w:rStyle w:val="VerbatimChar"/>
        </w:rPr>
        <w:t xml:space="preserve">Negotiation</w:t>
      </w:r>
      <w:r>
        <w:t xml:space="preserve">, guarded by WF-42. Reaching</w:t>
      </w:r>
      <w:r>
        <w:t xml:space="preserve"> </w:t>
      </w:r>
      <w:r>
        <w:rPr>
          <w:rStyle w:val="VerbatimChar"/>
        </w:rPr>
        <w:t xml:space="preserve">Contract Signed</w:t>
      </w:r>
      <w:r>
        <w:t xml:space="preserve"> </w:t>
      </w:r>
      <w:r>
        <w:t xml:space="preserve">fires WF-43, which marks the deal Won and sets the commission.</w:t>
      </w:r>
    </w:p>
    <w:p>
      <w:pPr>
        <w:pStyle w:val="BodyText"/>
      </w:pPr>
      <w:r>
        <w:rPr>
          <w:rStyle w:val="VerbatimChar"/>
        </w:rPr>
        <w:t xml:space="preserve">Registration Submitted</w:t>
      </w:r>
      <w:r>
        <w:t xml:space="preserve"> </w:t>
      </w:r>
      <w:r>
        <w:t xml:space="preserve">and</w:t>
      </w:r>
      <w:r>
        <w:t xml:space="preserve"> </w:t>
      </w:r>
      <w:r>
        <w:rPr>
          <w:rStyle w:val="VerbatimChar"/>
        </w:rPr>
        <w:t xml:space="preserve">Conflict Check</w:t>
      </w:r>
      <w:r>
        <w:t xml:space="preserve"> </w:t>
      </w:r>
      <w:r>
        <w:t xml:space="preserve">both sit at probability 0 and are excluded from the funnel and pie charts, because a submission that has not cleared conflict is not a deal.</w:t>
      </w:r>
    </w:p>
    <w:p>
      <w:pPr>
        <w:pStyle w:val="BodyText"/>
      </w:pPr>
      <w:r>
        <w:rPr>
          <w:b/>
          <w:bCs/>
        </w:rPr>
        <w:t xml:space="preserve">Both triggers carry a second condition that is not visible in the builder summary. CONFIRM against the live account.</w:t>
      </w:r>
    </w:p>
    <w:p>
      <w:pPr>
        <w:pStyle w:val="BodyText"/>
      </w:pPr>
      <w:r>
        <w:rPr>
          <w:b/>
          <w:bCs/>
        </w:rPr>
        <w:t xml:space="preserve">Registrations run a 90 day clock.</w:t>
      </w:r>
      <w:r>
        <w:t xml:space="preserve"> </w:t>
      </w:r>
      <w:r>
        <w:t xml:space="preserve">A dealer holds attribution on a named facility for 90 days from submission.</w:t>
      </w:r>
    </w:p>
    <w:p>
      <w:pPr>
        <w:pStyle w:val="BodyText"/>
      </w:pPr>
      <w:r>
        <w:rPr>
          <w:b/>
          <w:bCs/>
        </w:rPr>
        <w:t xml:space="preserve">Dealer confirmation email uses Send Internal Notification, not Send Email.</w:t>
      </w:r>
      <w:r>
        <w:t xml:space="preserve"> </w:t>
      </w:r>
      <w:r>
        <w:t xml:space="preserve">GHL’s</w:t>
      </w:r>
      <w:r>
        <w:t xml:space="preserve"> </w:t>
      </w:r>
      <w:r>
        <w:rPr>
          <w:rStyle w:val="VerbatimChar"/>
        </w:rPr>
        <w:t xml:space="preserve">Send Email</w:t>
      </w:r>
      <w:r>
        <w:t xml:space="preserve"> </w:t>
      </w:r>
      <w:r>
        <w:t xml:space="preserve">action can only reach the contact on the record, which on a dealer registration is the</w:t>
      </w:r>
      <w:r>
        <w:t xml:space="preserve"> </w:t>
      </w:r>
      <w:r>
        <w:rPr>
          <w:i/>
          <w:iCs/>
        </w:rPr>
        <w:t xml:space="preserve">facility</w:t>
      </w:r>
      <w:r>
        <w:t xml:space="preserve">, not the dealer. Sending the dealer’s confirmation with</w:t>
      </w:r>
      <w:r>
        <w:t xml:space="preserve"> </w:t>
      </w:r>
      <w:r>
        <w:rPr>
          <w:rStyle w:val="VerbatimChar"/>
        </w:rPr>
        <w:t xml:space="preserve">Send Email</w:t>
      </w:r>
      <w:r>
        <w:t xml:space="preserve"> </w:t>
      </w:r>
      <w:r>
        <w:t xml:space="preserve">delivers it to the prospect. The working build is</w:t>
      </w:r>
      <w:r>
        <w:t xml:space="preserve"> </w:t>
      </w:r>
      <w:r>
        <w:rPr>
          <w:rStyle w:val="VerbatimChar"/>
        </w:rPr>
        <w:t xml:space="preserve">Send Internal Notification</w:t>
      </w:r>
      <w:r>
        <w:t xml:space="preserve"> </w:t>
      </w:r>
      <w:r>
        <w:t xml:space="preserve">with</w:t>
      </w:r>
      <w:r>
        <w:t xml:space="preserve"> </w:t>
      </w:r>
      <w:r>
        <w:rPr>
          <w:rStyle w:val="VerbatimChar"/>
        </w:rPr>
        <w:t xml:space="preserve">To User Type: Custom email</w:t>
      </w:r>
      <w:r>
        <w:t xml:space="preserve"> </w:t>
      </w:r>
      <w:r>
        <w:t xml:space="preserve">and</w:t>
      </w:r>
      <w:r>
        <w:t xml:space="preserve"> </w:t>
      </w:r>
      <w:r>
        <w:rPr>
          <w:rStyle w:val="VerbatimChar"/>
        </w:rPr>
        <w:t xml:space="preserve">{{opportunity.dealer_email}}</w:t>
      </w:r>
      <w:r>
        <w:t xml:space="preserve"> </w:t>
      </w:r>
      <w:r>
        <w:t xml:space="preserve">inserted through the tag picker.</w:t>
      </w:r>
      <w:r>
        <w:t xml:space="preserve"> </w:t>
      </w:r>
      <w:r>
        <w:rPr>
          <w:b/>
          <w:bCs/>
        </w:rPr>
        <w:t xml:space="preserve">Typing the merge field by hand is rejected as invalid; it must be inserted from the picker.</w:t>
      </w:r>
    </w:p>
    <w:p>
      <w:pPr>
        <w:pStyle w:val="BodyText"/>
      </w:pPr>
      <w:r>
        <w:rPr>
          <w:b/>
          <w:bCs/>
        </w:rPr>
        <w:t xml:space="preserve">Commission ladder, tied to the final sale price: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Commission</w:t>
            </w:r>
          </w:p>
        </w:tc>
        <w:tc>
          <w:tcPr/>
          <w:p>
            <w:pPr>
              <w:pStyle w:val="Compact"/>
            </w:pPr>
            <w:r>
              <w:t xml:space="preserve">Maximum discount off MSRP</w:t>
            </w:r>
          </w:p>
        </w:tc>
        <w:tc>
          <w:tcPr/>
          <w:p>
            <w:pPr>
              <w:pStyle w:val="Compact"/>
            </w:pPr>
            <w:r>
              <w:t xml:space="preserve">Resulting price</w:t>
            </w:r>
          </w:p>
        </w:tc>
      </w:tr>
      <w:tr>
        <w:tc>
          <w:tcPr/>
          <w:p>
            <w:pPr>
              <w:pStyle w:val="Compact"/>
            </w:pPr>
            <w:r>
              <w:t xml:space="preserve">25 percent</w:t>
            </w:r>
          </w:p>
        </w:tc>
        <w:tc>
          <w:tcPr/>
          <w:p>
            <w:pPr>
              <w:pStyle w:val="Compact"/>
            </w:pPr>
            <w:r>
              <w:t xml:space="preserve">none, sells at $8,950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 (MAP floor)</w:t>
            </w:r>
          </w:p>
        </w:tc>
        <w:tc>
          <w:tcPr/>
          <w:p>
            <w:pPr>
              <w:pStyle w:val="Compact"/>
            </w:pPr>
            <w:r>
              <w:t xml:space="preserve">$7,160.00</w:t>
            </w:r>
          </w:p>
        </w:tc>
      </w:tr>
    </w:tbl>
    <w:p>
      <w:pPr>
        <w:pStyle w:val="BodyText"/>
      </w:pPr>
      <w:r>
        <w:t xml:space="preserve">Commission is calculated on the</w:t>
      </w:r>
      <w:r>
        <w:t xml:space="preserve"> </w:t>
      </w:r>
      <w:r>
        <w:rPr>
          <w:b/>
          <w:bCs/>
        </w:rPr>
        <w:t xml:space="preserve">actual sale price, expressed in USD</w:t>
      </w:r>
      <w:r>
        <w:t xml:space="preserve">, regardless of the dealer’s local currency. The program is</w:t>
      </w:r>
      <w:r>
        <w:t xml:space="preserve"> </w:t>
      </w:r>
      <w:r>
        <w:rPr>
          <w:b/>
          <w:bCs/>
        </w:rPr>
        <w:t xml:space="preserve">not US-only</w:t>
      </w:r>
      <w:r>
        <w:t xml:space="preserve">.</w:t>
      </w:r>
    </w:p>
    <w:bookmarkEnd w:id="55"/>
    <w:bookmarkStart w:id="56" w:name="X2698e74b1af9aaaf59965bb650c04f8b8dcdf99"/>
    <w:p>
      <w:pPr>
        <w:pStyle w:val="Heading2"/>
      </w:pPr>
      <w:r>
        <w:t xml:space="preserve">Opportunity custom fields (Dealer Registration folder, Session 17)</w:t>
      </w:r>
    </w:p>
    <w:p>
      <w:pPr>
        <w:pStyle w:val="FirstParagraph"/>
      </w:pPr>
      <w:r>
        <w:t xml:space="preserve">Held in</w:t>
      </w:r>
      <w:r>
        <w:t xml:space="preserve"> </w:t>
      </w:r>
      <w:r>
        <w:rPr>
          <w:rStyle w:val="VerbatimChar"/>
        </w:rPr>
        <w:t xml:space="preserve">Settings &gt; Custom Fields &gt; Opportunity &gt; Dealer Registration</w:t>
      </w:r>
      <w:r>
        <w:t xml:space="preserve">. These sit on the Opportunity object, not the Contact object, which is why the health-profile fields below are a separate list.</w:t>
      </w:r>
    </w:p>
    <w:p>
      <w:pPr>
        <w:pStyle w:val="Compact"/>
        <w:numPr>
          <w:ilvl w:val="0"/>
          <w:numId w:val="1008"/>
        </w:numPr>
      </w:pPr>
      <w:r>
        <w:rPr>
          <w:rStyle w:val="VerbatimChar"/>
          <w:b/>
          <w:bCs/>
        </w:rPr>
        <w:t xml:space="preserve">Dealer Name</w:t>
      </w:r>
      <w:r>
        <w:t xml:space="preserve"> </w:t>
      </w:r>
      <w:r>
        <w:t xml:space="preserve">(dropdown). Attribution that decides a commission cannot be free text with three spellings of the same company.</w:t>
      </w:r>
    </w:p>
    <w:p>
      <w:pPr>
        <w:pStyle w:val="Compact"/>
        <w:numPr>
          <w:ilvl w:val="0"/>
          <w:numId w:val="1008"/>
        </w:numPr>
      </w:pPr>
      <w:r>
        <w:rPr>
          <w:rStyle w:val="VerbatimChar"/>
          <w:b/>
          <w:bCs/>
        </w:rPr>
        <w:t xml:space="preserve">dealer_email</w:t>
      </w:r>
      <w:r>
        <w:t xml:space="preserve">. Feeds the confirmation notification described above.</w:t>
      </w:r>
    </w:p>
    <w:p>
      <w:pPr>
        <w:pStyle w:val="Compact"/>
        <w:numPr>
          <w:ilvl w:val="0"/>
          <w:numId w:val="1008"/>
        </w:numPr>
      </w:pPr>
      <w:r>
        <w:rPr>
          <w:rStyle w:val="VerbatimChar"/>
          <w:b/>
          <w:bCs/>
        </w:rPr>
        <w:t xml:space="preserve">Source Type</w:t>
      </w:r>
      <w:r>
        <w:t xml:space="preserve">. Set to</w:t>
      </w:r>
      <w:r>
        <w:t xml:space="preserve"> </w:t>
      </w:r>
      <w:r>
        <w:rPr>
          <w:rStyle w:val="VerbatimChar"/>
        </w:rPr>
        <w:t xml:space="preserve">Dealer</w:t>
      </w:r>
      <w:r>
        <w:t xml:space="preserve"> </w:t>
      </w:r>
      <w:r>
        <w:t xml:space="preserve">by WF-40.</w:t>
      </w:r>
    </w:p>
    <w:p>
      <w:pPr>
        <w:pStyle w:val="Compact"/>
        <w:numPr>
          <w:ilvl w:val="0"/>
          <w:numId w:val="1008"/>
        </w:numPr>
      </w:pPr>
      <w:r>
        <w:rPr>
          <w:rStyle w:val="VerbatimChar"/>
          <w:b/>
          <w:bCs/>
        </w:rPr>
        <w:t xml:space="preserve">Exclusivity Expires</w:t>
      </w:r>
      <w:r>
        <w:t xml:space="preserve"> </w:t>
      </w:r>
      <w:r>
        <w:t xml:space="preserve">(Date). The end of the 90 day registration. WF-41 refuses to confirm a registration to a dealer while this is empty.</w:t>
      </w:r>
    </w:p>
    <w:p>
      <w:pPr>
        <w:pStyle w:val="Compact"/>
        <w:numPr>
          <w:ilvl w:val="0"/>
          <w:numId w:val="1008"/>
        </w:numPr>
      </w:pPr>
      <w:r>
        <w:rPr>
          <w:rStyle w:val="VerbatimChar"/>
          <w:b/>
          <w:bCs/>
        </w:rPr>
        <w:t xml:space="preserve">Agreed Sale Price</w:t>
      </w:r>
      <w:r>
        <w:t xml:space="preserve">. WF-43 branches on this to pick the commission tier.</w:t>
      </w:r>
    </w:p>
    <w:p>
      <w:pPr>
        <w:pStyle w:val="Compact"/>
        <w:numPr>
          <w:ilvl w:val="0"/>
          <w:numId w:val="1008"/>
        </w:numPr>
      </w:pPr>
      <w:r>
        <w:t xml:space="preserve">A</w:t>
      </w:r>
      <w:r>
        <w:t xml:space="preserve"> </w:t>
      </w:r>
      <w:r>
        <w:rPr>
          <w:b/>
          <w:bCs/>
        </w:rPr>
        <w:t xml:space="preserve">commission tier</w:t>
      </w:r>
      <w:r>
        <w:t xml:space="preserve"> </w:t>
      </w:r>
      <w:r>
        <w:t xml:space="preserve">field, set to 25, 20 or 16 percent by WF-43, plus a</w:t>
      </w:r>
      <w:r>
        <w:t xml:space="preserve"> </w:t>
      </w:r>
      <w:r>
        <w:rPr>
          <w:b/>
          <w:bCs/>
        </w:rPr>
        <w:t xml:space="preserve">below MAP</w:t>
      </w:r>
      <w:r>
        <w:t xml:space="preserve"> </w:t>
      </w:r>
      <w:r>
        <w:t xml:space="preserve">flag on the None branch. Exact field names:</w:t>
      </w:r>
      <w:r>
        <w:t xml:space="preserve"> </w:t>
      </w:r>
      <w:r>
        <w:rPr>
          <w:b/>
          <w:bCs/>
        </w:rPr>
        <w:t xml:space="preserve">CONFIRM.</w:t>
      </w:r>
    </w:p>
    <w:p>
      <w:pPr>
        <w:pStyle w:val="Compact"/>
        <w:numPr>
          <w:ilvl w:val="0"/>
          <w:numId w:val="1008"/>
        </w:numPr>
      </w:pPr>
      <w:r>
        <w:t xml:space="preserve">Any remaining fields:</w:t>
      </w:r>
      <w:r>
        <w:t xml:space="preserve"> </w:t>
      </w:r>
      <w:r>
        <w:rPr>
          <w:b/>
          <w:bCs/>
        </w:rPr>
        <w:t xml:space="preserve">CONFIRM</w:t>
      </w:r>
      <w:r>
        <w:t xml:space="preserve"> </w:t>
      </w:r>
      <w:r>
        <w:t xml:space="preserve">against</w:t>
      </w:r>
      <w:r>
        <w:t xml:space="preserve"> </w:t>
      </w:r>
      <w:r>
        <w:rPr>
          <w:rStyle w:val="VerbatimChar"/>
        </w:rPr>
        <w:t xml:space="preserve">Settings &gt; Custom Fields &gt; Opportunity &gt; Dealer Registration</w:t>
      </w:r>
      <w:r>
        <w:t xml:space="preserve">.</w:t>
      </w:r>
    </w:p>
    <w:p>
      <w:pPr>
        <w:pStyle w:val="FirstParagraph"/>
      </w:pPr>
      <w:r>
        <w:rPr>
          <w:b/>
          <w:bCs/>
        </w:rPr>
        <w:t xml:space="preserve">There is one registration form per dealer, and this is deliberate.</w:t>
      </w:r>
      <w:r>
        <w:t xml:space="preserve"> </w:t>
      </w:r>
      <w:r>
        <w:t xml:space="preserve">A dropdown shows every option to whoever opens it, so a single shared form would let every dealer read the full roster and infer territory coverage and network size. GHL has no hidden-field option on this form type and its forms API is</w:t>
      </w:r>
      <w:r>
        <w:t xml:space="preserve"> </w:t>
      </w:r>
      <w:r>
        <w:rPr>
          <w:rStyle w:val="VerbatimChar"/>
        </w:rPr>
        <w:t xml:space="preserve">forms.readonly</w:t>
      </w:r>
      <w:r>
        <w:t xml:space="preserve">, so this cannot be automated away inside GHL. The master form is a template: never send it to anyone and never add a real dealer name to it. Full onboarding sequence in</w:t>
      </w:r>
      <w:r>
        <w:t xml:space="preserve"> </w:t>
      </w:r>
      <w:r>
        <w:rPr>
          <w:rStyle w:val="VerbatimChar"/>
        </w:rPr>
        <w:t xml:space="preserve">campaigns/dealer-onboarding.md</w:t>
      </w:r>
      <w:r>
        <w:t xml:space="preserve">.</w:t>
      </w:r>
    </w:p>
    <w:p>
      <w:pPr>
        <w:pStyle w:val="BodyText"/>
      </w:pPr>
      <w:r>
        <w:rPr>
          <w:rStyle w:val="VerbatimChar"/>
          <w:b/>
          <w:bCs/>
        </w:rPr>
        <w:t xml:space="preserve">Unassigned</w:t>
      </w:r>
      <w:r>
        <w:rPr>
          <w:b/>
          <w:bCs/>
        </w:rPr>
        <w:t xml:space="preserve"> </w:t>
      </w:r>
      <w:r>
        <w:rPr>
          <w:b/>
          <w:bCs/>
        </w:rPr>
        <w:t xml:space="preserve">is not a dealer.</w:t>
      </w:r>
      <w:r>
        <w:t xml:space="preserve"> </w:t>
      </w:r>
      <w:r>
        <w:t xml:space="preserve">It marks a registration that lost its attribution and must never be selectable on a live dealer form. An opportunity with</w:t>
      </w:r>
      <w:r>
        <w:t xml:space="preserve"> </w:t>
      </w:r>
      <w:r>
        <w:rPr>
          <w:rStyle w:val="VerbatimChar"/>
        </w:rPr>
        <w:t xml:space="preserve">Source Type = Dealer</w:t>
      </w:r>
      <w:r>
        <w:t xml:space="preserve"> </w:t>
      </w:r>
      <w:r>
        <w:t xml:space="preserve">and</w:t>
      </w:r>
      <w:r>
        <w:t xml:space="preserve"> </w:t>
      </w:r>
      <w:r>
        <w:rPr>
          <w:rStyle w:val="VerbatimChar"/>
        </w:rPr>
        <w:t xml:space="preserve">Dealer Name = Unassigned</w:t>
      </w:r>
      <w:r>
        <w:t xml:space="preserve"> </w:t>
      </w:r>
      <w:r>
        <w:t xml:space="preserve">is a deal nobody can be paid for, and is a fault to investigate rather than a record to leave.</w:t>
      </w:r>
    </w:p>
    <w:bookmarkEnd w:id="56"/>
    <w:bookmarkStart w:id="57"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9"/>
        </w:numPr>
      </w:pPr>
      <w:r>
        <w:t xml:space="preserve">WF-12 (Tired Test): https://services.leadconnectorhq.com/hooks/GtXjla7Ld1dordsTWrVy/webhook-trigger/6c3a7c6c-f1fa-4c85-a03a-a1c42fdfb13d</w:t>
      </w:r>
    </w:p>
    <w:p>
      <w:pPr>
        <w:numPr>
          <w:ilvl w:val="0"/>
          <w:numId w:val="1009"/>
        </w:numPr>
      </w:pPr>
      <w:r>
        <w:t xml:space="preserve">WF-15 (Synthesis Gap): https://services.leadconnectorhq.com/hooks/GtXjla7Ld1dordsTWrVy/webhook-trigger/fd32493c-6ec1-4e55-9edb-75399aa53a34</w:t>
      </w:r>
    </w:p>
    <w:p>
      <w:pPr>
        <w:numPr>
          <w:ilvl w:val="0"/>
          <w:numId w:val="1009"/>
        </w:numPr>
      </w:pPr>
      <w:r>
        <w:t xml:space="preserve">WF-18 (Recovery): https://services.leadconnectorhq.com/hooks/GtXjla7Ld1dordsTWrVy/webhook-trigger/3ae538d7-81a9-42a7-9e18-5e7c8b19b84a</w:t>
      </w:r>
    </w:p>
    <w:p>
      <w:pPr>
        <w:numPr>
          <w:ilvl w:val="0"/>
          <w:numId w:val="1009"/>
        </w:numPr>
      </w:pPr>
      <w:r>
        <w:t xml:space="preserve">WF-19 (Winter Protocol): https://services.leadconnectorhq.com/hooks/GtXjla7Ld1dordsTWrVy/webhook-trigger/ad11ef02-14c8-4dbc-b1dd-bb5c9f3203bd</w:t>
      </w:r>
    </w:p>
    <w:p>
      <w:pPr>
        <w:numPr>
          <w:ilvl w:val="0"/>
          <w:numId w:val="1009"/>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7"/>
    <w:bookmarkStart w:id="58" w:name="lead-scoring-model"/>
    <w:p>
      <w:pPr>
        <w:pStyle w:val="Heading2"/>
      </w:pPr>
      <w:r>
        <w:t xml:space="preserve">Lead Scoring Model</w:t>
      </w:r>
    </w:p>
    <w:p>
      <w:pPr>
        <w:pStyle w:val="FirstParagraph"/>
      </w:pPr>
      <w:r>
        <w:t xml:space="preserve">Email Opened +6 · Appointment Confirmed +21 · Contact Reply +11 · Appointment Booked +21.</w:t>
      </w:r>
    </w:p>
    <w:bookmarkEnd w:id="58"/>
    <w:bookmarkEnd w:id="59"/>
    <w:bookmarkStart w:id="60"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60"/>
    <w:bookmarkStart w:id="69" w:name="section-14-content-rules-updated-in-v3.7"/>
    <w:p>
      <w:pPr>
        <w:pStyle w:val="Heading1"/>
      </w:pPr>
      <w:r>
        <w:t xml:space="preserve">SECTION 14: CONTENT RULES (UPDATED in v3.7)</w:t>
      </w:r>
    </w:p>
    <w:bookmarkStart w:id="61"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10"/>
        </w:numPr>
      </w:pPr>
      <w:r>
        <w:rPr>
          <w:b/>
          <w:bCs/>
        </w:rPr>
        <w:t xml:space="preserve">StorySelling OS</w:t>
      </w:r>
      <w:r>
        <w:t xml:space="preserve"> </w:t>
      </w:r>
      <w:r>
        <w:t xml:space="preserve">-&gt; NARRATIVE/story content ONLY (origin stories, testimonials, social content pulling traffic to guides).</w:t>
      </w:r>
    </w:p>
    <w:p>
      <w:pPr>
        <w:numPr>
          <w:ilvl w:val="0"/>
          <w:numId w:val="1010"/>
        </w:numPr>
      </w:pPr>
      <w:r>
        <w:rPr>
          <w:b/>
          <w:bCs/>
        </w:rPr>
        <w:t xml:space="preserve">eugene-skill / cub / copy-chief / humanize-pro</w:t>
      </w:r>
      <w:r>
        <w:t xml:space="preserve"> </w:t>
      </w:r>
      <w:r>
        <w:t xml:space="preserve">-&gt; conversion and research copy (landing pages, guides, conversion emails).</w:t>
      </w:r>
    </w:p>
    <w:p>
      <w:pPr>
        <w:numPr>
          <w:ilvl w:val="0"/>
          <w:numId w:val="1010"/>
        </w:numPr>
      </w:pPr>
      <w:r>
        <w:rPr>
          <w:b/>
          <w:bCs/>
        </w:rPr>
        <w:t xml:space="preserve">presell-sandwich</w:t>
      </w:r>
      <w:r>
        <w:t xml:space="preserve"> </w:t>
      </w:r>
      <w:r>
        <w:t xml:space="preserve">-&gt; Problem-Aware buyer copy.</w:t>
      </w:r>
    </w:p>
    <w:p>
      <w:pPr>
        <w:numPr>
          <w:ilvl w:val="0"/>
          <w:numId w:val="1010"/>
        </w:numPr>
      </w:pPr>
      <w:r>
        <w:rPr>
          <w:b/>
          <w:bCs/>
        </w:rPr>
        <w:t xml:space="preserve">offer-brief / offer-gravity</w:t>
      </w:r>
      <w:r>
        <w:t xml:space="preserve"> </w:t>
      </w:r>
      <w:r>
        <w:t xml:space="preserve">-&gt; offer framing.</w:t>
      </w:r>
    </w:p>
    <w:p>
      <w:pPr>
        <w:numPr>
          <w:ilvl w:val="0"/>
          <w:numId w:val="1010"/>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61"/>
    <w:bookmarkStart w:id="62" w:name="writing-rules"/>
    <w:p>
      <w:pPr>
        <w:pStyle w:val="Heading2"/>
      </w:pPr>
      <w:r>
        <w:t xml:space="preserve">Writing Rules</w:t>
      </w:r>
    </w:p>
    <w:p>
      <w:pPr>
        <w:numPr>
          <w:ilvl w:val="0"/>
          <w:numId w:val="1011"/>
        </w:numPr>
      </w:pPr>
      <w:r>
        <w:t xml:space="preserve">No m-dashes ever; use commas, periods, or rewrite.</w:t>
      </w:r>
    </w:p>
    <w:p>
      <w:pPr>
        <w:numPr>
          <w:ilvl w:val="0"/>
          <w:numId w:val="1011"/>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11"/>
        </w:numPr>
      </w:pPr>
      <w:r>
        <w:t xml:space="preserve">Treatments completed: 25,000+. Customers: 600+. Red light co-use: 90%.</w:t>
      </w:r>
    </w:p>
    <w:p>
      <w:pPr>
        <w:numPr>
          <w:ilvl w:val="0"/>
          <w:numId w:val="1011"/>
        </w:numPr>
      </w:pPr>
      <w:r>
        <w:t xml:space="preserve">Manufacturing / Facility: 5115 N 27th Ave, Bld 66, Phoenix, AZ 85017, Made in USA (relocated from Scottsdale; all labels, listings, and materials should reflect the new address).</w:t>
      </w:r>
    </w:p>
    <w:p>
      <w:pPr>
        <w:numPr>
          <w:ilvl w:val="0"/>
          <w:numId w:val="1011"/>
        </w:numPr>
      </w:pPr>
      <w:r>
        <w:t xml:space="preserve">Referral: $150 off referee, $100 credit referrer.</w:t>
      </w:r>
    </w:p>
    <w:p>
      <w:pPr>
        <w:numPr>
          <w:ilvl w:val="0"/>
          <w:numId w:val="1011"/>
        </w:numPr>
      </w:pPr>
      <w:r>
        <w:t xml:space="preserve">Per-session cost: $2.30 (1,300 sessions over 5 years).</w:t>
      </w:r>
    </w:p>
    <w:p>
      <w:pPr>
        <w:numPr>
          <w:ilvl w:val="0"/>
          <w:numId w:val="1011"/>
        </w:numPr>
      </w:pPr>
      <w:r>
        <w:t xml:space="preserve">Order URL: https://shop.enyrgy.com/products/uvb-light-therapy · Device Registration: https://api.enyrgy.com/</w:t>
      </w:r>
    </w:p>
    <w:bookmarkEnd w:id="62"/>
    <w:bookmarkStart w:id="63" w:name="X797d2c75cb682f40ae0a7775fed78efc1f71c46"/>
    <w:p>
      <w:pPr>
        <w:pStyle w:val="Heading2"/>
      </w:pPr>
      <w:r>
        <w:t xml:space="preserve">Mechanics (NEW in v3.9.7, enforced by a gate)</w:t>
      </w:r>
    </w:p>
    <w:p>
      <w:pPr>
        <w:numPr>
          <w:ilvl w:val="0"/>
          <w:numId w:val="1012"/>
        </w:numPr>
      </w:pPr>
      <w:r>
        <w:rPr>
          <w:b/>
          <w:bCs/>
        </w:rPr>
        <w:t xml:space="preserve">US English throughout.</w:t>
      </w:r>
      <w:r>
        <w:t xml:space="preserve"> </w:t>
      </w:r>
      <w:r>
        <w:t xml:space="preserve">No British spellings. Added to</w:t>
      </w:r>
      <w:r>
        <w:t xml:space="preserve"> </w:t>
      </w:r>
      <w:r>
        <w:rPr>
          <w:rStyle w:val="VerbatimChar"/>
        </w:rPr>
        <w:t xml:space="preserve">Enyrgy_Brand_Style_Guide_v2.md</w:t>
      </w:r>
      <w:r>
        <w:t xml:space="preserve"> </w:t>
      </w:r>
      <w:r>
        <w:t xml:space="preserve">section 05 after they appeared twice in client-facing drafts.</w:t>
      </w:r>
    </w:p>
    <w:p>
      <w:pPr>
        <w:numPr>
          <w:ilvl w:val="0"/>
          <w:numId w:val="1012"/>
        </w:numPr>
      </w:pPr>
      <w:r>
        <w:rPr>
          <w:b/>
          <w:bCs/>
        </w:rPr>
        <w:t xml:space="preserve">Enforcement is automatic.</w:t>
      </w:r>
      <w:r>
        <w:t xml:space="preserve"> </w:t>
      </w:r>
      <w:r>
        <w:rPr>
          <w:rStyle w:val="VerbatimChar"/>
        </w:rPr>
        <w:t xml:space="preserve">scripts/md2docx.py</w:t>
      </w:r>
      <w:r>
        <w:t xml:space="preserve"> </w:t>
      </w:r>
      <w:r>
        <w:t xml:space="preserve">checks every brand document for British spellings and em-dashes.</w:t>
      </w:r>
      <w:r>
        <w:t xml:space="preserve"> </w:t>
      </w:r>
      <w:r>
        <w:rPr>
          <w:rStyle w:val="VerbatimChar"/>
        </w:rPr>
        <w:t xml:space="preserve">.githooks/pre-commit</w:t>
      </w:r>
      <w:r>
        <w:t xml:space="preserve"> </w:t>
      </w:r>
      <w:r>
        <w:t xml:space="preserve">blocks any commit introducing either into root-level</w:t>
      </w:r>
      <w:r>
        <w:t xml:space="preserve"> </w:t>
      </w:r>
      <w:r>
        <w:rPr>
          <w:rStyle w:val="VerbatimChar"/>
        </w:rPr>
        <w:t xml:space="preserve">Enyrgy_*.md</w:t>
      </w:r>
      <w:r>
        <w:t xml:space="preserve"> </w:t>
      </w:r>
      <w:r>
        <w:t xml:space="preserve">or</w:t>
      </w:r>
      <w:r>
        <w:t xml:space="preserve"> </w:t>
      </w:r>
      <w:r>
        <w:rPr>
          <w:rStyle w:val="VerbatimChar"/>
        </w:rPr>
        <w:t xml:space="preserve">campaigns/*.md</w:t>
      </w:r>
      <w:r>
        <w:t xml:space="preserve">. Install once per clone with</w:t>
      </w:r>
      <w:r>
        <w:t xml:space="preserve"> </w:t>
      </w:r>
      <w:r>
        <w:rPr>
          <w:rStyle w:val="VerbatimChar"/>
        </w:rPr>
        <w:t xml:space="preserve">git config core.hooksPath .githooks</w:t>
      </w:r>
      <w:r>
        <w:t xml:space="preserve">. Escapes: wrap a legitimate quotation in</w:t>
      </w:r>
      <w:r>
        <w:t xml:space="preserve"> </w:t>
      </w:r>
      <w:r>
        <w:rPr>
          <w:rStyle w:val="VerbatimChar"/>
        </w:rPr>
        <w:t xml:space="preserve">&lt;!-- style-check: ignore --&gt;</w:t>
      </w:r>
      <w:r>
        <w:t xml:space="preserve"> </w:t>
      </w:r>
      <w:r>
        <w:t xml:space="preserve">and</w:t>
      </w:r>
      <w:r>
        <w:t xml:space="preserve"> </w:t>
      </w:r>
      <w:r>
        <w:rPr>
          <w:rStyle w:val="VerbatimChar"/>
        </w:rPr>
        <w:t xml:space="preserve">&lt;!-- style-check: resume --&gt;</w:t>
      </w:r>
      <w:r>
        <w:t xml:space="preserve">, or</w:t>
      </w:r>
      <w:r>
        <w:t xml:space="preserve"> </w:t>
      </w:r>
      <w:r>
        <w:rPr>
          <w:rStyle w:val="VerbatimChar"/>
        </w:rPr>
        <w:t xml:space="preserve">git commit --no-verify</w:t>
      </w:r>
      <w:r>
        <w:t xml:space="preserve">.</w:t>
      </w:r>
    </w:p>
    <w:bookmarkEnd w:id="63"/>
    <w:bookmarkStart w:id="64" w:name="positioning-rules-new-in-v3.9.7"/>
    <w:p>
      <w:pPr>
        <w:pStyle w:val="Heading2"/>
      </w:pPr>
      <w:r>
        <w:t xml:space="preserve">Positioning Rules (NEW in v3.9.7)</w:t>
      </w:r>
    </w:p>
    <w:p>
      <w:pPr>
        <w:numPr>
          <w:ilvl w:val="0"/>
          <w:numId w:val="1013"/>
        </w:numPr>
      </w:pPr>
      <w:r>
        <w:rPr>
          <w:b/>
          <w:bCs/>
        </w:rPr>
        <w:t xml:space="preserve">Never raise the tanning-bed comparison in outbound copy, even to deny it.</w:t>
      </w:r>
      <w:r>
        <w:t xml:space="preserve"> </w:t>
      </w:r>
      <w:r>
        <w:t xml:space="preserve">Naming it plants it. Applied August 18 to WF-22 Touch 2 and WF-13. Answering the comparison when a prospect raises it first is permitted; introducing it is not.</w:t>
      </w:r>
    </w:p>
    <w:p>
      <w:pPr>
        <w:numPr>
          <w:ilvl w:val="0"/>
          <w:numId w:val="1013"/>
        </w:numPr>
      </w:pPr>
      <w:r>
        <w:rPr>
          <w:b/>
          <w:bCs/>
        </w:rPr>
        <w:t xml:space="preserve">The app determines your skin type, it does not read it.</w:t>
      </w:r>
      <w:r>
        <w:t xml:space="preserve"> </w:t>
      </w:r>
      <w:r>
        <w:t xml:space="preserve">Corrected August 13 across the Consumer Drip and the KB.</w:t>
      </w:r>
    </w:p>
    <w:p>
      <w:pPr>
        <w:numPr>
          <w:ilvl w:val="0"/>
          <w:numId w:val="1013"/>
        </w:numPr>
      </w:pPr>
      <w:r>
        <w:rPr>
          <w:b/>
          <w:bCs/>
        </w:rPr>
        <w:t xml:space="preserve">Prevalence, the citable 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(Cui et al.,</w:t>
      </w:r>
      <w:r>
        <w:t xml:space="preserve"> </w:t>
      </w:r>
      <w:r>
        <w:rPr>
          <w:i/>
          <w:iCs/>
        </w:rPr>
        <w:t xml:space="preserve">Frontiers in Nutrition</w:t>
      </w:r>
      <w:r>
        <w:t xml:space="preserve"> </w:t>
      </w:r>
      <w:r>
        <w:t xml:space="preserve">2023, PMC10064807).</w:t>
      </w:r>
      <w:r>
        <w:t xml:space="preserve"> </w:t>
      </w:r>
      <w:r>
        <w:rPr>
          <w:b/>
          <w:bCs/>
        </w:rPr>
        <w:t xml:space="preserve">This supersedes the previously unsourced 77 percent figure.</w:t>
      </w:r>
      <w:r>
        <w:t xml:space="preserve"> </w:t>
      </w:r>
      <w:r>
        <w:t xml:space="preserve">Three rules: below 30 is insufficiency or low status, never</w:t>
      </w:r>
      <w:r>
        <w:t xml:space="preserve"> </w:t>
      </w:r>
      <w:r>
        <w:t xml:space="preserve">“deficiency”</w:t>
      </w:r>
      <w:r>
        <w:t xml:space="preserve">; the population is global and aged 1 and over, so say</w:t>
      </w:r>
      <w:r>
        <w:t xml:space="preserve"> </w:t>
      </w:r>
      <w:r>
        <w:t xml:space="preserve">“people”</w:t>
      </w:r>
      <w:r>
        <w:t xml:space="preserve"> </w:t>
      </w:r>
      <w:r>
        <w:t xml:space="preserve">and never</w:t>
      </w:r>
      <w:r>
        <w:t xml:space="preserve"> </w:t>
      </w:r>
      <w:r>
        <w:t xml:space="preserve">“adults”</w:t>
      </w:r>
      <w:r>
        <w:t xml:space="preserve">,</w:t>
      </w:r>
      <w:r>
        <w:t xml:space="preserve"> </w:t>
      </w:r>
      <w:r>
        <w:t xml:space="preserve">“Americans”</w:t>
      </w:r>
      <w:r>
        <w:t xml:space="preserve"> </w:t>
      </w:r>
      <w:r>
        <w:t xml:space="preserve">or</w:t>
      </w:r>
      <w:r>
        <w:t xml:space="preserve"> </w:t>
      </w:r>
      <w:r>
        <w:t xml:space="preserve">“indoor”</w:t>
      </w:r>
      <w:r>
        <w:t xml:space="preserve">; and do not present it as a precise national rate. 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p>
    <w:p>
      <w:pPr>
        <w:numPr>
          <w:ilvl w:val="0"/>
          <w:numId w:val="1013"/>
        </w:numPr>
      </w:pPr>
      <w:r>
        <w:rPr>
          <w:b/>
          <w:bCs/>
        </w:rPr>
        <w:t xml:space="preserve">The sunny-climate objection has its own source.</w:t>
      </w:r>
      <w:r>
        <w:t xml:space="preserve"> </w:t>
      </w:r>
      <w:r>
        <w:t xml:space="preserve">Palacios and Gonzalez,</w:t>
      </w:r>
      <w:r>
        <w:t xml:space="preserve"> </w:t>
      </w:r>
      <w:r>
        <w:rPr>
          <w:i/>
          <w:iCs/>
        </w:rPr>
        <w:t xml:space="preserve">J Steroid Biochem Mol Biol</w:t>
      </w:r>
      <w:r>
        <w:t xml:space="preserve"> </w:t>
      </w:r>
      <w:r>
        <w:t xml:space="preserve">2014 (PMC4018438), whose Highlights state verbatim:</w:t>
      </w:r>
      <w:r>
        <w:t xml:space="preserve"> </w:t>
      </w:r>
      <w:r>
        <w:t xml:space="preserve">“Low vitamin D status is a problem even in countries with sun exposure all year round.”</w:t>
      </w:r>
      <w:r>
        <w:t xml:space="preserve"> </w:t>
      </w:r>
      <w:r>
        <w:t xml:space="preserve">It reports no single headline figure, so it cannot source the prevalence number, and it says nothing about devices, so never present it as support for the platform itself.</w:t>
      </w:r>
    </w:p>
    <w:p>
      <w:pPr>
        <w:numPr>
          <w:ilvl w:val="0"/>
          <w:numId w:val="1013"/>
        </w:numPr>
      </w:pPr>
      <w:r>
        <w:rPr>
          <w:b/>
          <w:bCs/>
        </w:rPr>
        <w:t xml:space="preserve">HSA/FSA: the only authorized phrasing is</w:t>
      </w:r>
      <w:r>
        <w:rPr>
          <w:b/>
          <w:bCs/>
        </w:rPr>
        <w:t xml:space="preserve"> </w:t>
      </w:r>
      <w:r>
        <w:rPr>
          <w:b/>
          <w:bCs/>
        </w:rPr>
        <w:t xml:space="preserve">“HSA/FSA eligible through Truemed”</w:t>
      </w:r>
      <w:r>
        <w:rPr>
          <w:b/>
          <w:bCs/>
        </w:rPr>
        <w:t xml:space="preserve">.</w:t>
      </w:r>
      <w:r>
        <w:t xml:space="preserve"> </w:t>
      </w:r>
      <w:r>
        <w:t xml:space="preserve">Never explain eligibility in condition-or-treatment terms and never describe the Letter of Medical Necessity, regardless of what Truemed’s own copy blocks say.</w:t>
      </w:r>
      <w:r>
        <w:t xml:space="preserve"> </w:t>
      </w:r>
      <w:r>
        <w:rPr>
          <w:b/>
          <w:bCs/>
        </w:rPr>
        <w:t xml:space="preserve">Eligibility covers the Consumer Unit only; the wall mount is excluded.</w:t>
      </w:r>
      <w:r>
        <w:t xml:space="preserve"> </w:t>
      </w:r>
      <w:r>
        <w:t xml:space="preserve">The test is who the buyer of record is: an individual buying their own Consumer Unit at</w:t>
      </w:r>
      <w:r>
        <w:t xml:space="preserve"> </w:t>
      </w:r>
      <w:r>
        <w:rPr>
          <w:rStyle w:val="VerbatimChar"/>
        </w:rPr>
        <w:t xml:space="preserve">shop.enyrgy.com</w:t>
      </w:r>
      <w:r>
        <w:t xml:space="preserve"> </w:t>
      </w:r>
      <w:r>
        <w:t xml:space="preserve">is eligible</w:t>
      </w:r>
      <w:r>
        <w:t xml:space="preserve"> </w:t>
      </w:r>
      <w:r>
        <w:rPr>
          <w:b/>
          <w:bCs/>
        </w:rPr>
        <w:t xml:space="preserve">even when they arrive through a facility’s referral link</w:t>
      </w:r>
      <w:r>
        <w:t xml:space="preserve">, because the transaction is still consumer to Enyrgy. A facility buying units for its business is not, and neither is any membership or session fee that includes Enyrgy access. Never suggest routing a facility purchase through an individual to obtain eligibility.</w:t>
      </w:r>
    </w:p>
    <w:bookmarkEnd w:id="64"/>
    <w:bookmarkStart w:id="65" w:name="X853e0a91a1e222f2ef618e244a96dd8e18997f9"/>
    <w:p>
      <w:pPr>
        <w:pStyle w:val="Heading2"/>
      </w:pPr>
      <w:r>
        <w:t xml:space="preserve">Health Questions and Contraindications (NEW in v3.9.7)</w:t>
      </w:r>
    </w:p>
    <w:p>
      <w:pPr>
        <w:pStyle w:val="FirstParagraph"/>
      </w:pPr>
      <w:r>
        <w:rPr>
          <w:b/>
          <w:bCs/>
        </w:rPr>
        <w:t xml:space="preserve">KB Section 16 governs any conversation where a person names a health condition, an injury or a medication.</w:t>
      </w:r>
      <w:r>
        <w:t xml:space="preserve"> </w:t>
      </w:r>
      <w:r>
        <w:t xml:space="preserve">It carries the contraindication list from the shipping User Manual plus the handling rules, and it is binding on every agent and every human writing outbound copy.</w:t>
      </w:r>
    </w:p>
    <w:p>
      <w:pPr>
        <w:pStyle w:val="BodyText"/>
      </w:pPr>
      <w:r>
        <w:t xml:space="preserve">The rules that matter operationally:</w:t>
      </w:r>
    </w:p>
    <w:p>
      <w:pPr>
        <w:pStyle w:val="Compact"/>
        <w:numPr>
          <w:ilvl w:val="0"/>
          <w:numId w:val="1014"/>
        </w:numPr>
      </w:pPr>
      <w:r>
        <w:rPr>
          <w:b/>
          <w:bCs/>
        </w:rPr>
        <w:t xml:space="preserve">Never clear anyone for use</w:t>
      </w:r>
      <w:r>
        <w:t xml:space="preserve">, and never treat absence from the contraindication list as clearance.</w:t>
      </w:r>
    </w:p>
    <w:p>
      <w:pPr>
        <w:pStyle w:val="Compact"/>
        <w:numPr>
          <w:ilvl w:val="0"/>
          <w:numId w:val="1014"/>
        </w:numPr>
      </w:pPr>
      <w:r>
        <w:rPr>
          <w:b/>
          <w:bCs/>
        </w:rPr>
        <w:t xml:space="preserve">Never send the platform’s benefit story as the answer to a health question.</w:t>
      </w:r>
    </w:p>
    <w:p>
      <w:pPr>
        <w:pStyle w:val="Compact"/>
        <w:numPr>
          <w:ilvl w:val="0"/>
          <w:numId w:val="1014"/>
        </w:numPr>
      </w:pPr>
      <w:r>
        <w:rPr>
          <w:b/>
          <w:bCs/>
        </w:rPr>
        <w:t xml:space="preserve">Do not solicit or record health details</w:t>
      </w:r>
      <w:r>
        <w:t xml:space="preserve"> </w:t>
      </w:r>
      <w:r>
        <w:t xml:space="preserve">in GHL custom fields, tags or notes. Escalate instead.</w:t>
      </w:r>
    </w:p>
    <w:p>
      <w:pPr>
        <w:pStyle w:val="Compact"/>
        <w:numPr>
          <w:ilvl w:val="0"/>
          <w:numId w:val="1014"/>
        </w:numPr>
      </w:pPr>
      <w:r>
        <w:rPr>
          <w:b/>
          <w:bCs/>
        </w:rPr>
        <w:t xml:space="preserve">Escalate to Scott</w:t>
      </w:r>
      <w:r>
        <w:t xml:space="preserve"> </w:t>
      </w:r>
      <w:r>
        <w:t xml:space="preserve">whenever a person names a specific condition, a medication, ongoing care, or asks for an arrangement outside a standard purchase.</w:t>
      </w:r>
    </w:p>
    <w:p>
      <w:pPr>
        <w:pStyle w:val="Compact"/>
        <w:numPr>
          <w:ilvl w:val="0"/>
          <w:numId w:val="1014"/>
        </w:numPr>
      </w:pPr>
      <w:r>
        <w:rPr>
          <w:b/>
          <w:bCs/>
        </w:rPr>
        <w:t xml:space="preserve">The contraindication list is the only standing exemption to the prohibited-words scan.</w:t>
      </w:r>
      <w:r>
        <w:t xml:space="preserve"> </w:t>
      </w:r>
      <w:r>
        <w:t xml:space="preserve">It needs the word</w:t>
      </w:r>
      <w:r>
        <w:t xml:space="preserve"> </w:t>
      </w:r>
      <w:r>
        <w:t xml:space="preserve">“diagnosed”</w:t>
      </w:r>
      <w:r>
        <w:t xml:space="preserve"> </w:t>
      </w:r>
      <w:r>
        <w:t xml:space="preserve">five times, and an agent scrubbing it to pass the scan breaks the disclosure.</w:t>
      </w:r>
    </w:p>
    <w:p>
      <w:pPr>
        <w:pStyle w:val="Compact"/>
        <w:numPr>
          <w:ilvl w:val="0"/>
          <w:numId w:val="1014"/>
        </w:numPr>
      </w:pPr>
      <w:r>
        <w:rPr>
          <w:b/>
          <w:bCs/>
        </w:rPr>
        <w:t xml:space="preserve">Use on intact skin only.</w:t>
      </w:r>
      <w:r>
        <w:t xml:space="preserve"> </w:t>
      </w:r>
      <w:r>
        <w:t xml:space="preserve">Sessions are taken on the torso, on unbroken healthy skin. Never pair the wound-repair research with usage instructions in the same passage.</w:t>
      </w:r>
    </w:p>
    <w:bookmarkEnd w:id="65"/>
    <w:bookmarkStart w:id="66" w:name="brand-standards-new-in-v3.7-locked"/>
    <w:p>
      <w:pPr>
        <w:pStyle w:val="Heading2"/>
      </w:pPr>
      <w:r>
        <w:t xml:space="preserve">Brand Standards (NEW in v3.7, locked)</w:t>
      </w:r>
    </w:p>
    <w:p>
      <w:pPr>
        <w:numPr>
          <w:ilvl w:val="0"/>
          <w:numId w:val="1015"/>
        </w:numPr>
      </w:pPr>
      <w:r>
        <w:t xml:space="preserve">Accent: Sunrise Orange #E64C38 only (NO violet/purple/amber).</w:t>
      </w:r>
    </w:p>
    <w:p>
      <w:pPr>
        <w:numPr>
          <w:ilvl w:val="0"/>
          <w:numId w:val="1015"/>
        </w:numPr>
      </w:pPr>
      <w:r>
        <w:t xml:space="preserve">Typography: Montserrat, all weights (Bely Bold Italic unavailable -&gt; all-Montserrat).</w:t>
      </w:r>
    </w:p>
    <w:p>
      <w:pPr>
        <w:numPr>
          <w:ilvl w:val="0"/>
          <w:numId w:val="1015"/>
        </w:numPr>
      </w:pPr>
      <w:r>
        <w:t xml:space="preserve">Text: Deep Charcoal #1A1A1A. Panels: Warm Off-White #F7F4EE, Calm Beige #ECE4CF. Line #E2DBC9. Muted #6B6B66.</w:t>
      </w:r>
    </w:p>
    <w:p>
      <w:pPr>
        <w:numPr>
          <w:ilvl w:val="0"/>
          <w:numId w:val="1015"/>
        </w:numPr>
      </w:pPr>
      <w:r>
        <w:t xml:space="preserve">Approved terms: BioCalibrated Sunshine™ (personalized-dosing/skin-type angle), Triple-Pathway Advantage™.</w:t>
      </w:r>
    </w:p>
    <w:bookmarkEnd w:id="66"/>
    <w:bookmarkStart w:id="67"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7"/>
    <w:bookmarkStart w:id="68"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8"/>
    <w:bookmarkEnd w:id="69"/>
    <w:bookmarkStart w:id="70" w:name="section-15-approved-talking-points"/>
    <w:p>
      <w:pPr>
        <w:pStyle w:val="Heading1"/>
      </w:pPr>
      <w:r>
        <w:t xml:space="preserve">SECTION 15: APPROVED TALKING POINTS</w:t>
      </w:r>
    </w:p>
    <w:p>
      <w:pPr>
        <w:numPr>
          <w:ilvl w:val="0"/>
          <w:numId w:val="1016"/>
        </w:numPr>
      </w:pPr>
      <w:r>
        <w:t xml:space="preserve">Every human body was meant to thrive on sunlight. We just made it safe, personalized and controllable.</w:t>
      </w:r>
    </w:p>
    <w:p>
      <w:pPr>
        <w:numPr>
          <w:ilvl w:val="0"/>
          <w:numId w:val="1016"/>
        </w:numPr>
      </w:pPr>
      <w:r>
        <w:t xml:space="preserve">Restore your body’s natural response to sunlight.</w:t>
      </w:r>
    </w:p>
    <w:p>
      <w:pPr>
        <w:numPr>
          <w:ilvl w:val="0"/>
          <w:numId w:val="1016"/>
        </w:numPr>
      </w:pPr>
      <w:r>
        <w:t xml:space="preserve">Activate three biological pathways in 2-4 minutes.</w:t>
      </w:r>
    </w:p>
    <w:p>
      <w:pPr>
        <w:numPr>
          <w:ilvl w:val="0"/>
          <w:numId w:val="1016"/>
        </w:numPr>
      </w:pPr>
      <w:r>
        <w:t xml:space="preserve">25,000+ sessions with zero adverse events.</w:t>
      </w:r>
    </w:p>
    <w:p>
      <w:pPr>
        <w:numPr>
          <w:ilvl w:val="0"/>
          <w:numId w:val="1016"/>
        </w:numPr>
      </w:pPr>
      <w:r>
        <w:t xml:space="preserve">100% of clinical study participants reached optimal Vitamin D levels.</w:t>
      </w:r>
    </w:p>
    <w:p>
      <w:pPr>
        <w:numPr>
          <w:ilvl w:val="0"/>
          <w:numId w:val="1016"/>
        </w:numPr>
      </w:pPr>
      <w:r>
        <w:t xml:space="preserve">2.4x more efficient than sunlight for Vitamin D synthesis.</w:t>
      </w:r>
    </w:p>
    <w:p>
      <w:pPr>
        <w:numPr>
          <w:ilvl w:val="0"/>
          <w:numId w:val="1016"/>
        </w:numPr>
      </w:pPr>
      <w:r>
        <w:t xml:space="preserve">App-controlled, personalized MED protocol, system shuts off automatically.</w:t>
      </w:r>
    </w:p>
    <w:p>
      <w:pPr>
        <w:numPr>
          <w:ilvl w:val="0"/>
          <w:numId w:val="1016"/>
        </w:numPr>
      </w:pPr>
      <w:r>
        <w:t xml:space="preserve">Less than 1% return rate, 5-10x better than industry average.</w:t>
      </w:r>
    </w:p>
    <w:p>
      <w:pPr>
        <w:numPr>
          <w:ilvl w:val="0"/>
          <w:numId w:val="1016"/>
        </w:numPr>
      </w:pPr>
      <w:r>
        <w:t xml:space="preserve">Manufactured in Phoenix, AZ, Made in USA.</w:t>
      </w:r>
    </w:p>
    <w:p>
      <w:pPr>
        <w:numPr>
          <w:ilvl w:val="0"/>
          <w:numId w:val="1016"/>
        </w:numPr>
      </w:pPr>
      <w:r>
        <w:t xml:space="preserve">600+ customers across 5 countries.</w:t>
      </w:r>
    </w:p>
    <w:p>
      <w:pPr>
        <w:numPr>
          <w:ilvl w:val="0"/>
          <w:numId w:val="1016"/>
        </w:numPr>
      </w:pPr>
      <w:r>
        <w:t xml:space="preserve">Lumanova selected our technology to launch Luma D Light.</w:t>
      </w:r>
    </w:p>
    <w:p>
      <w:pPr>
        <w:numPr>
          <w:ilvl w:val="0"/>
          <w:numId w:val="1016"/>
        </w:numPr>
      </w:pPr>
      <w:r>
        <w:t xml:space="preserve">$2,995 consumer / $8,950 commercial.</w:t>
      </w:r>
    </w:p>
    <w:p>
      <w:pPr>
        <w:numPr>
          <w:ilvl w:val="0"/>
          <w:numId w:val="1016"/>
        </w:numPr>
      </w:pPr>
      <w:r>
        <w:t xml:space="preserve">$2.30 per session at 5 sessions/week over 5 years.</w:t>
      </w:r>
    </w:p>
    <w:p>
      <w:pPr>
        <w:numPr>
          <w:ilvl w:val="0"/>
          <w:numId w:val="1016"/>
        </w:numPr>
      </w:pPr>
      <w:r>
        <w:t xml:space="preserve">90% of our customers also use red light therapy.</w:t>
      </w:r>
    </w:p>
    <w:p>
      <w:pPr>
        <w:numPr>
          <w:ilvl w:val="0"/>
          <w:numId w:val="1016"/>
        </w:numPr>
      </w:pPr>
      <w:r>
        <w:t xml:space="preserve">Sunlight. Evolved.</w:t>
      </w:r>
    </w:p>
    <w:bookmarkEnd w:id="70"/>
    <w:bookmarkStart w:id="73" w:name="section-16-commercial-roi-model"/>
    <w:p>
      <w:pPr>
        <w:pStyle w:val="Heading1"/>
      </w:pPr>
      <w:r>
        <w:t xml:space="preserve">SECTION 16: COMMERCIAL ROI MODEL</w:t>
      </w:r>
    </w:p>
    <w:bookmarkStart w:id="71"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71"/>
    <w:bookmarkStart w:id="72"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72"/>
    <w:bookmarkEnd w:id="73"/>
    <w:bookmarkStart w:id="74"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p>
      <w:pPr>
        <w:pStyle w:val="BodyText"/>
      </w:pPr>
      <w:r>
        <w:rPr>
          <w:b/>
          <w:bCs/>
        </w:rPr>
        <w:t xml:space="preserve">Current company valuation: $10M</w:t>
      </w:r>
      <w:r>
        <w:t xml:space="preserve"> </w:t>
      </w:r>
      <w:r>
        <w:t xml:space="preserve">(recorded August 16, 2026). 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tbl>
      <w:tblPr>
        <w:tblStyle w:val="Table"/>
        <w:tblW w:type="pct" w:w="490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74"/>
    <w:bookmarkStart w:id="76" w:name="section-18-key-reference-data"/>
    <w:p>
      <w:pPr>
        <w:pStyle w:val="Heading1"/>
      </w:pPr>
      <w:r>
        <w:t xml:space="preserve">SECTION 18: KEY REFERENCE DATA</w:t>
      </w:r>
    </w:p>
    <w:tbl>
      <w:tblPr>
        <w:tblStyle w:val="Table"/>
        <w:tblW w:type="pct" w:w="49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Start w:id="75" w:name="added-since-v3.9.6"/>
    <w:p>
      <w:pPr>
        <w:pStyle w:val="Heading2"/>
      </w:pPr>
      <w:r>
        <w:t xml:space="preserve">Added since v3.9.6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Point</w:t>
            </w:r>
          </w:p>
        </w:tc>
        <w:tc>
          <w:tcPr/>
          <w:p>
            <w:pPr>
              <w:pStyle w:val="Compact"/>
            </w:pPr>
            <w:r>
              <w:t xml:space="preserve">Value</w:t>
            </w:r>
          </w:p>
        </w:tc>
        <w:tc>
          <w:tcPr/>
          <w:p>
            <w:pPr>
              <w:pStyle w:val="Compact"/>
            </w:pPr>
            <w:r>
              <w:t xml:space="preserve">Use In</w:t>
            </w:r>
          </w:p>
        </w:tc>
      </w:tr>
      <w:tr>
        <w:tc>
          <w:tcPr/>
          <w:p>
            <w:pPr>
              <w:pStyle w:val="Compact"/>
            </w:pPr>
            <w:r>
              <w:t xml:space="preserve">Current company valuation</w:t>
            </w:r>
          </w:p>
        </w:tc>
        <w:tc>
          <w:tcPr/>
          <w:p>
            <w:pPr>
              <w:pStyle w:val="Compact"/>
            </w:pPr>
            <w:r>
              <w:t xml:space="preserve">$10M (Aug 16, 2026)</w:t>
            </w:r>
          </w:p>
        </w:tc>
        <w:tc>
          <w:tcPr/>
          <w:p>
            <w:pPr>
              <w:pStyle w:val="Compact"/>
            </w:pPr>
            <w:r>
              <w:t xml:space="preserve">Investor conversations. Never as the conversion price.</w:t>
            </w:r>
          </w:p>
        </w:tc>
      </w:tr>
      <w:tr>
        <w:tc>
          <w:tcPr/>
          <w:p>
            <w:pPr>
              <w:pStyle w:val="Compact"/>
            </w:pPr>
            <w:r>
              <w:t xml:space="preserve">Prevalence, low vitamin D</w:t>
            </w:r>
          </w:p>
        </w:tc>
        <w:tc>
          <w:tcPr/>
          <w:p>
            <w:pPr>
              <w:pStyle w:val="Compact"/>
            </w:pPr>
            <w:r>
              <w:t xml:space="preserve">76.6 percent of people below 30 ng/mL (Cui 2023)</w:t>
            </w:r>
          </w:p>
        </w:tc>
        <w:tc>
          <w:tcPr/>
          <w:p>
            <w:pPr>
              <w:pStyle w:val="Compact"/>
            </w:pPr>
            <w:r>
              <w:t xml:space="preserve">All funnels. Supersedes the unsourced 77 percent.</w:t>
            </w:r>
          </w:p>
        </w:tc>
      </w:tr>
      <w:tr>
        <w:tc>
          <w:tcPr/>
          <w:p>
            <w:pPr>
              <w:pStyle w:val="Compact"/>
            </w:pPr>
            <w:r>
              <w:t xml:space="preserve">Facility referral commission</w:t>
            </w:r>
          </w:p>
        </w:tc>
        <w:tc>
          <w:tcPr/>
          <w:p>
            <w:pPr>
              <w:pStyle w:val="Compact"/>
            </w:pPr>
            <w:r>
              <w:t xml:space="preserve">$600 per Consumer Unit sale</w:t>
            </w:r>
          </w:p>
        </w:tc>
        <w:tc>
          <w:tcPr/>
          <w:p>
            <w:pPr>
              <w:pStyle w:val="Compact"/>
            </w:pPr>
            <w:r>
              <w:t xml:space="preserve">Commercial Drip Touch 7. Escalate terms to Scott.</w:t>
            </w:r>
          </w:p>
        </w:tc>
      </w:tr>
      <w:tr>
        <w:tc>
          <w:tcPr/>
          <w:p>
            <w:pPr>
              <w:pStyle w:val="Compact"/>
            </w:pPr>
            <w:r>
              <w:t xml:space="preserve">Dealer commission ladder</w:t>
            </w:r>
          </w:p>
        </w:tc>
        <w:tc>
          <w:tcPr/>
          <w:p>
            <w:pPr>
              <w:pStyle w:val="Compact"/>
            </w:pPr>
            <w:r>
              <w:t xml:space="preserve">25 / 20 / 16 percent on final sale price</w:t>
            </w:r>
          </w:p>
        </w:tc>
        <w:tc>
          <w:tcPr/>
          <w:p>
            <w:pPr>
              <w:pStyle w:val="Compact"/>
            </w:pPr>
            <w:r>
              <w:t xml:space="preserve">Dealer program only, see Section 12</w:t>
            </w:r>
          </w:p>
        </w:tc>
      </w:tr>
      <w:tr>
        <w:tc>
          <w:tcPr/>
          <w:p>
            <w:pPr>
              <w:pStyle w:val="Compact"/>
            </w:pPr>
            <w:r>
              <w:t xml:space="preserve">Commercial unit footprint</w:t>
            </w:r>
          </w:p>
        </w:tc>
        <w:tc>
          <w:tcPr/>
          <w:p>
            <w:pPr>
              <w:pStyle w:val="Compact"/>
            </w:pPr>
            <w:r>
              <w:t xml:space="preserve">approximately 4 ft by 4 ft</w:t>
            </w:r>
          </w:p>
        </w:tc>
        <w:tc>
          <w:tcPr/>
          <w:p>
            <w:pPr>
              <w:pStyle w:val="Compact"/>
            </w:pPr>
            <w:r>
              <w:t xml:space="preserve">First practical objection a facility raises</w:t>
            </w:r>
          </w:p>
        </w:tc>
      </w:tr>
      <w:tr>
        <w:tc>
          <w:tcPr/>
          <w:p>
            <w:pPr>
              <w:pStyle w:val="Compact"/>
            </w:pPr>
            <w:r>
              <w:t xml:space="preserve">Commercial client pricing</w:t>
            </w:r>
          </w:p>
        </w:tc>
        <w:tc>
          <w:tcPr/>
          <w:p>
            <w:pPr>
              <w:pStyle w:val="Compact"/>
            </w:pPr>
            <w:r>
              <w:t xml:space="preserve">$49 to $125 per month per client, set by market</w:t>
            </w:r>
          </w:p>
        </w:tc>
        <w:tc>
          <w:tcPr/>
          <w:p>
            <w:pPr>
              <w:pStyle w:val="Compact"/>
            </w:pPr>
            <w:r>
              <w:t xml:space="preserve">Commercial funnel</w:t>
            </w:r>
          </w:p>
        </w:tc>
      </w:tr>
      <w:tr>
        <w:tc>
          <w:tcPr/>
          <w:p>
            <w:pPr>
              <w:pStyle w:val="Compact"/>
            </w:pPr>
            <w:r>
              <w:t xml:space="preserve">Founder track record</w:t>
            </w:r>
          </w:p>
        </w:tc>
        <w:tc>
          <w:tcPr/>
          <w:p>
            <w:pPr>
              <w:pStyle w:val="Compact"/>
            </w:pPr>
            <w:r>
              <w:t xml:space="preserve">Five exits from eight previous startups, $500M+; plus eleven M&amp;A transactions led, $249M</w:t>
            </w:r>
          </w:p>
        </w:tc>
        <w:tc>
          <w:tcPr/>
          <w:p>
            <w:pPr>
              <w:pStyle w:val="Compact"/>
            </w:pPr>
            <w:r>
              <w:t xml:space="preserve">Investor conversations.</w:t>
            </w:r>
            <w:r>
              <w:t xml:space="preserve"> </w:t>
            </w:r>
            <w:r>
              <w:rPr>
                <w:b/>
                <w:bCs/>
              </w:rPr>
              <w:t xml:space="preserve">State the two figures separately, never combine.</w:t>
            </w:r>
          </w:p>
        </w:tc>
      </w:tr>
      <w:tr>
        <w:tc>
          <w:tcPr/>
          <w:p>
            <w:pPr>
              <w:pStyle w:val="Compact"/>
            </w:pPr>
            <w:r>
              <w:t xml:space="preserve">HSA/FSA</w:t>
            </w:r>
          </w:p>
        </w:tc>
        <w:tc>
          <w:tcPr/>
          <w:p>
            <w:pPr>
              <w:pStyle w:val="Compact"/>
            </w:pPr>
            <w:r>
              <w:t xml:space="preserve">“HSA/FSA eligible through Truemed”</w:t>
            </w:r>
            <w:r>
              <w:t xml:space="preserve">, Consumer Unit only</w:t>
            </w:r>
          </w:p>
        </w:tc>
        <w:tc>
          <w:tcPr/>
          <w:p>
            <w:pPr>
              <w:pStyle w:val="Compact"/>
            </w:pPr>
            <w:r>
              <w:t xml:space="preserve">Consumer funnel, see Section 14</w:t>
            </w:r>
          </w:p>
        </w:tc>
      </w:tr>
    </w:tbl>
    <w:bookmarkEnd w:id="75"/>
    <w:bookmarkEnd w:id="76"/>
    <w:bookmarkStart w:id="80" w:name="X17ff4415c04741fc8a2aa7a70f1e07a23764a6c"/>
    <w:p>
      <w:pPr>
        <w:pStyle w:val="Heading1"/>
      </w:pPr>
      <w:r>
        <w:t xml:space="preserve">SECTION 19: OEM / WHITE-LABEL PARTNER PROGRAM</w:t>
      </w:r>
    </w:p>
    <w:bookmarkStart w:id="77" w:name="current-partner-lumanova-luma-d-light"/>
    <w:p>
      <w:pPr>
        <w:pStyle w:val="Heading2"/>
      </w:pPr>
      <w:r>
        <w:t xml:space="preserve">Current Partner, Lumanova / Luma D Light</w:t>
      </w:r>
    </w:p>
    <w:tbl>
      <w:tblPr>
        <w:tblStyle w:val="Table"/>
        <w:tblW w:type="pct" w:w="491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7"/>
    <w:bookmarkStart w:id="78" w:name="Xb9fc2bd3abb295fbc0fc3f6e5c1fe9fe826a6b0"/>
    <w:p>
      <w:pPr>
        <w:pStyle w:val="Heading2"/>
      </w:pPr>
      <w:r>
        <w:t xml:space="preserve">Facility Referral Arrangement (ESCALATE TO SCOTT)</w:t>
      </w:r>
    </w:p>
    <w:p>
      <w:pPr>
        <w:pStyle w:val="FirstParagraph"/>
      </w:pPr>
      <w:r>
        <w:rPr>
          <w:b/>
          <w:bCs/>
        </w:rPr>
        <w:t xml:space="preserve">Agents must not run this conversation.</w:t>
      </w:r>
      <w:r>
        <w:t xml:space="preserve"> </w:t>
      </w:r>
      <w:r>
        <w:t xml:space="preserve">Scott handles referral arrangements personally (decision, August 14, 2026).</w:t>
      </w:r>
    </w:p>
    <w:p>
      <w:pPr>
        <w:pStyle w:val="BodyText"/>
      </w:pP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w:t>
      </w:r>
    </w:p>
    <w:p>
      <w:pPr>
        <w:pStyle w:val="BodyText"/>
      </w:pPr>
      <w:r>
        <w:rPr>
          <w:b/>
          <w:bCs/>
        </w:rPr>
        <w:t xml:space="preserve">The commission is $600 per Consumer Unit sale.</w:t>
      </w:r>
      <w:r>
        <w:t xml:space="preserve"> </w:t>
      </w:r>
      <w:r>
        <w:t xml:space="preserve">This figure appears in Commercial Drip Touch 7, so a facility that received that email already has it. An agent may confirm the figure if a facility quotes it back, but</w:t>
      </w:r>
      <w:r>
        <w:t xml:space="preserve"> </w:t>
      </w:r>
      <w:r>
        <w:rPr>
          <w:b/>
          <w:bCs/>
        </w:rPr>
        <w:t xml:space="preserve">must not negotiate, extend, or discuss terms.</w:t>
      </w:r>
      <w:r>
        <w:t xml:space="preserve"> </w:t>
      </w:r>
      <w:r>
        <w:t xml:space="preserve">Hand off to Scott, the same as white-label and distribution.</w:t>
      </w:r>
    </w:p>
    <w:p>
      <w:pPr>
        <w:pStyle w:val="BodyText"/>
      </w:pPr>
      <w:r>
        <w:t xml:space="preserve">Because the member is the buyer of record, that purchase is HSA/FSA eligible. The referral link does not change whose purchase it is. See the HSA/FSA rules in Section 14.</w:t>
      </w:r>
    </w:p>
    <w:p>
      <w:pPr>
        <w:pStyle w:val="BodyText"/>
      </w:pPr>
      <w:r>
        <w:rPr>
          <w:b/>
          <w:bCs/>
        </w:rPr>
        <w:t xml:space="preserve">This is not the dealer program.</w:t>
      </w:r>
      <w:r>
        <w:t xml:space="preserve"> </w:t>
      </w:r>
      <w:r>
        <w:t xml:space="preserve">Dealers resell the $8,950 commercial unit and earn 25 to 16 percent under the deal registration system in Section 12. The two are separate and should never be described in the same breath to a prospect.</w:t>
      </w:r>
    </w:p>
    <w:bookmarkEnd w:id="78"/>
    <w:bookmarkStart w:id="79"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9"/>
    <w:bookmarkEnd w:id="80"/>
    <w:bookmarkStart w:id="84"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81"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81"/>
    <w:bookmarkStart w:id="82"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82"/>
    <w:bookmarkStart w:id="83" w:name="X381182024df858e43a1c7682279a9e1b008a029"/>
    <w:p>
      <w:pPr>
        <w:pStyle w:val="Heading2"/>
      </w:pPr>
      <w:r>
        <w:t xml:space="preserve">Commercial, Investor, Partner/Vendor Channels</w:t>
      </w:r>
    </w:p>
    <w:p>
      <w:pPr>
        <w:numPr>
          <w:ilvl w:val="0"/>
          <w:numId w:val="1017"/>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7"/>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7"/>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83"/>
    <w:bookmarkEnd w:id="84"/>
    <w:bookmarkStart w:id="85"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85"/>
    <w:bookmarkStart w:id="90" w:name="section-22-client-type-playbooks"/>
    <w:p>
      <w:pPr>
        <w:pStyle w:val="Heading1"/>
      </w:pPr>
      <w:r>
        <w:t xml:space="preserve">SECTION 22: CLIENT TYPE PLAYBOOKS</w:t>
      </w:r>
    </w:p>
    <w:bookmarkStart w:id="86" w:name="consumer-playbook-discovery-questions"/>
    <w:p>
      <w:pPr>
        <w:pStyle w:val="Heading2"/>
      </w:pPr>
      <w:r>
        <w:t xml:space="preserve">Consumer Playbook, Discovery Questions</w:t>
      </w:r>
    </w:p>
    <w:tbl>
      <w:tblPr>
        <w:tblStyle w:val="Table"/>
        <w:tblW w:type="pct" w:w="493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86"/>
    <w:bookmarkStart w:id="87" w:name="top-consumer-objections"/>
    <w:p>
      <w:pPr>
        <w:pStyle w:val="Heading2"/>
      </w:pPr>
      <w:r>
        <w:t xml:space="preserve">Top Consumer Objections</w:t>
      </w:r>
    </w:p>
    <w:p>
      <w:pPr>
        <w:numPr>
          <w:ilvl w:val="0"/>
          <w:numId w:val="1018"/>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8"/>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8"/>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8"/>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8"/>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7"/>
    <w:bookmarkStart w:id="88"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9"/>
        </w:numPr>
      </w:pPr>
      <w:r>
        <w:rPr>
          <w:b/>
          <w:bCs/>
        </w:rPr>
        <w:t xml:space="preserve">We already have red light:</w:t>
      </w:r>
      <w:r>
        <w:t xml:space="preserve"> </w:t>
      </w:r>
      <w:r>
        <w:t xml:space="preserve">90% of Enyrgy customers use both, different biological purposes. Upsell, not replacement.</w:t>
      </w:r>
    </w:p>
    <w:p>
      <w:pPr>
        <w:numPr>
          <w:ilvl w:val="0"/>
          <w:numId w:val="1019"/>
        </w:numPr>
      </w:pPr>
      <w:r>
        <w:rPr>
          <w:b/>
          <w:bCs/>
        </w:rPr>
        <w:t xml:space="preserve">Would clients pay?:</w:t>
      </w:r>
      <w:r>
        <w:t xml:space="preserve"> </w:t>
      </w:r>
      <w:r>
        <w:t xml:space="preserve">About three-quarters of people have vitamin D below 30 ng/mL. Operators charge $40-$75/session.</w:t>
      </w:r>
    </w:p>
    <w:p>
      <w:pPr>
        <w:numPr>
          <w:ilvl w:val="0"/>
          <w:numId w:val="1019"/>
        </w:numPr>
      </w:pPr>
      <w:r>
        <w:rPr>
          <w:b/>
          <w:bCs/>
        </w:rPr>
        <w:t xml:space="preserve">Staff training?:</w:t>
      </w:r>
      <w:r>
        <w:t xml:space="preserve"> </w:t>
      </w:r>
      <w:r>
        <w:t xml:space="preserve">Included; the app calculates each client’s MED and controls the session.</w:t>
      </w:r>
    </w:p>
    <w:bookmarkEnd w:id="88"/>
    <w:bookmarkStart w:id="89" w:name="investor-playbook-pitch-flow"/>
    <w:p>
      <w:pPr>
        <w:pStyle w:val="Heading2"/>
      </w:pPr>
      <w:r>
        <w:t xml:space="preserve">Investor Playbook, Pitch Flow</w:t>
      </w:r>
    </w:p>
    <w:p>
      <w:pPr>
        <w:numPr>
          <w:ilvl w:val="0"/>
          <w:numId w:val="1020"/>
        </w:numPr>
      </w:pPr>
      <w:r>
        <w:t xml:space="preserve">Company &amp; Problem (5 min): about three-quarters of people have vitamin D below 30 ng/mL, about one in four trial participants were low responders to supplementation, no scalable UVB solution.</w:t>
      </w:r>
    </w:p>
    <w:p>
      <w:pPr>
        <w:numPr>
          <w:ilvl w:val="0"/>
          <w:numId w:val="1020"/>
        </w:numPr>
      </w:pPr>
      <w:r>
        <w:t xml:space="preserve">Solution &amp; Technology (5 min): triple pathway, app-controlled, patented LED card, Made in Phoenix AZ.</w:t>
      </w:r>
    </w:p>
    <w:p>
      <w:pPr>
        <w:numPr>
          <w:ilvl w:val="0"/>
          <w:numId w:val="1020"/>
        </w:numPr>
      </w:pPr>
      <w:r>
        <w:t xml:space="preserve">Traction (5 min): 600+ customers, 25,000+ treatments, &lt;1% return, 5 countries, $14,700+ MRR, zero paid ads.</w:t>
      </w:r>
    </w:p>
    <w:p>
      <w:pPr>
        <w:numPr>
          <w:ilvl w:val="0"/>
          <w:numId w:val="1020"/>
        </w:numPr>
      </w:pPr>
      <w:r>
        <w:t xml:space="preserve">Market &amp; Model (5 min): $2,995/$8,950/OEM, 66-78% margins.</w:t>
      </w:r>
    </w:p>
    <w:p>
      <w:pPr>
        <w:numPr>
          <w:ilvl w:val="0"/>
          <w:numId w:val="1020"/>
        </w:numPr>
      </w:pPr>
      <w:r>
        <w:t xml:space="preserve">The Ask (3 min): $3.5M private credit at 12%/3yr, $50K min, exit $100-150M in 5 years (10-15x).</w:t>
      </w:r>
    </w:p>
    <w:p>
      <w:pPr>
        <w:numPr>
          <w:ilvl w:val="0"/>
          <w:numId w:val="1020"/>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9"/>
    <w:bookmarkEnd w:id="90"/>
    <w:bookmarkStart w:id="91" w:name="section-23-contact"/>
    <w:p>
      <w:pPr>
        <w:pStyle w:val="Heading1"/>
      </w:pPr>
      <w:r>
        <w:t xml:space="preserve">SECTION 23: CONTACT</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91"/>
    <w:bookmarkStart w:id="98" w:name="X2eb0bc4ebcb5446a412218d313bed2b732c6680"/>
    <w:p>
      <w:pPr>
        <w:pStyle w:val="Heading1"/>
      </w:pPr>
      <w:r>
        <w:t xml:space="preserve">SECTION 24: CONSUMER FUNNEL: ICP-DARTBOARD SYSTEM (NEW in v3.7)</w:t>
      </w:r>
    </w:p>
    <w:bookmarkStart w:id="92"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92"/>
    <w:bookmarkStart w:id="93" w:name="end-to-end-routing"/>
    <w:p>
      <w:pPr>
        <w:pStyle w:val="Heading2"/>
      </w:pPr>
      <w:r>
        <w:t xml:space="preserve">End-to-End Routing</w:t>
      </w:r>
    </w:p>
    <w:tbl>
      <w:tblPr>
        <w:tblStyle w:val="Table"/>
        <w:tblW w:type="pct" w:w="491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93"/>
    <w:bookmarkStart w:id="94"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21"/>
        </w:numPr>
      </w:pPr>
      <w:r>
        <w:t xml:space="preserve">magnet_lead, marks a lead-magnet entrant (suppression marker).</w:t>
      </w:r>
    </w:p>
    <w:p>
      <w:pPr>
        <w:numPr>
          <w:ilvl w:val="0"/>
          <w:numId w:val="1021"/>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94"/>
    <w:bookmarkStart w:id="95" w:name="the-magnets"/>
    <w:p>
      <w:pPr>
        <w:pStyle w:val="Heading2"/>
      </w:pPr>
      <w:r>
        <w:t xml:space="preserve">The Magnets</w:t>
      </w:r>
    </w:p>
    <w:tbl>
      <w:tblPr>
        <w:tblStyle w:val="Table"/>
        <w:tblW w:type="pct" w:w="495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95"/>
    <w:bookmarkStart w:id="96" w:name="email-series"/>
    <w:p>
      <w:pPr>
        <w:pStyle w:val="Heading2"/>
      </w:pPr>
      <w:r>
        <w:t xml:space="preserve">Email Series</w:t>
      </w:r>
    </w:p>
    <w:tbl>
      <w:tblPr>
        <w:tblStyle w:val="Table"/>
        <w:tblW w:type="pct" w:w="488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96"/>
    <w:bookmarkStart w:id="97" w:name="landing-page-deploy-recipe-proven"/>
    <w:p>
      <w:pPr>
        <w:pStyle w:val="Heading2"/>
      </w:pPr>
      <w:r>
        <w:t xml:space="preserve">Landing-Page Deploy Recipe (proven)</w:t>
      </w:r>
    </w:p>
    <w:p>
      <w:pPr>
        <w:numPr>
          <w:ilvl w:val="0"/>
          <w:numId w:val="1022"/>
        </w:numPr>
      </w:pPr>
      <w:r>
        <w:t xml:space="preserve">Create funnel + step; clean slug from the start.</w:t>
      </w:r>
    </w:p>
    <w:p>
      <w:pPr>
        <w:numPr>
          <w:ilvl w:val="0"/>
          <w:numId w:val="1022"/>
        </w:numPr>
      </w:pPr>
      <w:r>
        <w:t xml:space="preserve">Custom HTML/JavaScript element on a blank step; paste page HTML.</w:t>
      </w:r>
    </w:p>
    <w:p>
      <w:pPr>
        <w:numPr>
          <w:ilvl w:val="0"/>
          <w:numId w:val="1022"/>
        </w:numPr>
      </w:pPr>
      <w:r>
        <w:t xml:space="preserve">Section -&gt; Width: Full.</w:t>
      </w:r>
    </w:p>
    <w:p>
      <w:pPr>
        <w:numPr>
          <w:ilvl w:val="0"/>
          <w:numId w:val="1022"/>
        </w:numPr>
      </w:pPr>
      <w:r>
        <w:t xml:space="preserve">“Allow Rows to take entire width”</w:t>
      </w:r>
      <w:r>
        <w:t xml:space="preserve"> </w:t>
      </w:r>
      <w:r>
        <w:t xml:space="preserve">-&gt; ON.</w:t>
      </w:r>
    </w:p>
    <w:p>
      <w:pPr>
        <w:numPr>
          <w:ilvl w:val="0"/>
          <w:numId w:val="1022"/>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22"/>
        </w:numPr>
      </w:pPr>
      <w:r>
        <w:t xml:space="preserve">Connect domain, Publish.</w:t>
      </w:r>
    </w:p>
    <w:p>
      <w:pPr>
        <w:numPr>
          <w:ilvl w:val="0"/>
          <w:numId w:val="1022"/>
        </w:numPr>
      </w:pPr>
      <w:r>
        <w:t xml:space="preserve">Verify in Chrome incognito (NOT Safari, over-caches).</w:t>
      </w:r>
    </w:p>
    <w:p>
      <w:pPr>
        <w:numPr>
          <w:ilvl w:val="0"/>
          <w:numId w:val="1022"/>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2026-08-26T05:14:52Z</dcterms:created>
  <dcterms:modified xsi:type="dcterms:W3CDTF">2026-08-26T05:14:52Z</dcterms:modified>
</cp:coreProperties>
</file>

<file path=docProps/custom.xml><?xml version="1.0" encoding="utf-8"?>
<Properties xmlns="http://schemas.openxmlformats.org/officeDocument/2006/custom-properties" xmlns:vt="http://schemas.openxmlformats.org/officeDocument/2006/docPropsVTypes"/>
</file>