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3e7be5f3806d5cf11da58ecc983a07d0af277ac"/>
    <w:p>
      <w:pPr>
        <w:pStyle w:val="Heading2"/>
      </w:pPr>
      <w:r>
        <w:t xml:space="preserve">4b. Truemed HSA/FSA eligibility (started August 1, 2026 — APPROVED August 2026)</w:t>
      </w:r>
    </w:p>
    <w:p>
      <w:pPr>
        <w:pStyle w:val="FirstParagraph"/>
      </w:pPr>
      <w:r>
        <w:rPr>
          <w:b/>
          <w:bCs/>
        </w:rPr>
        <w:t xml:space="preserve">APPROVED.</w:t>
      </w:r>
      <w:r>
        <w:t xml:space="preserve"> </w:t>
      </w:r>
      <w:r>
        <w:t xml:space="preserve">The Enyrgy Vitamin D Primal Light Platform is HSA/FSA eligible through Truemed. Truemed issues a Letter of Medical Necessity through their own practitioner network; Enyrgy makes no medical claims and that boundary still holds — the LOMN mechanism is never described in Enyrgy copy.</w:t>
      </w:r>
    </w:p>
    <w:p>
      <w:pPr>
        <w:pStyle w:val="BodyText"/>
      </w:pPr>
      <w:r>
        <w:rPr>
          <w:b/>
          <w:bCs/>
        </w:rPr>
        <w:t xml:space="preserve">Authorized phrasing, the only approved wording:</w:t>
      </w:r>
      <w:r>
        <w:t xml:space="preserve"> </w:t>
      </w:r>
      <w:r>
        <w:t xml:space="preserve">“HSA/FSA eligible through Truemed”</w:t>
      </w:r>
      <w:r>
        <w:t xml:space="preserve">. Never justify the HSA angle with condition-or-treatment language, and never explain the Letter of Medical Necessity, regardless of what Truemed’s own copy blocks say.</w:t>
      </w:r>
    </w:p>
    <w:p>
      <w:pPr>
        <w:pStyle w:val="BodyText"/>
      </w:pPr>
      <w:r>
        <w:rPr>
          <w:b/>
          <w:bCs/>
        </w:rPr>
        <w:t xml:space="preserve">Scope: Consumer Unit only. The wall mount is EXCLUDED.</w:t>
      </w:r>
      <w:r>
        <w:t xml:space="preserve"> </w:t>
      </w:r>
      <w:r>
        <w:t xml:space="preserve">No copy may imply cart-wide eligibility. The commercial unit remains out of scope — a facility purchase is a business expense, not a personal medical one.</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Per-SKU eligibility determination: RECEIVED.</w:t>
      </w:r>
      <w:r>
        <w:t xml:space="preserve"> </w:t>
      </w:r>
      <w:r>
        <w:t xml:space="preserve">Consumer Unit eligible;</w:t>
      </w:r>
      <w:r>
        <w:t xml:space="preserve"> </w:t>
      </w:r>
      <w:r>
        <w:rPr>
          <w:b/>
          <w:bCs/>
        </w:rPr>
        <w:t xml:space="preserve">wall mount excluded</w:t>
      </w:r>
      <w:r>
        <w:t xml:space="preserve">, as anticipated. The badge appears only where eligibility is substantiated.</w:t>
      </w:r>
    </w:p>
    <w:p>
      <w:pPr>
        <w:pStyle w:val="Compact"/>
        <w:numPr>
          <w:ilvl w:val="0"/>
          <w:numId w:val="1053"/>
        </w:numPr>
      </w:pPr>
      <w:r>
        <w:rPr>
          <w:b/>
          <w:bCs/>
        </w:rPr>
        <w:t xml:space="preserve">Badge and copy placement: DONE Aug 9.</w:t>
      </w:r>
      <w:r>
        <w:t xml:space="preserve"> </w:t>
      </w:r>
      <w:r>
        <w:t xml:space="preserve">Applied live in GHL, then documented in the repo. Four placements, all consumer, all device-price context, all using the authorized phrasing verbatim:</w:t>
      </w:r>
    </w:p>
    <w:p>
      <w:pPr>
        <w:pStyle w:val="Compact"/>
        <w:numPr>
          <w:ilvl w:val="1"/>
          <w:numId w:val="1054"/>
        </w:numPr>
      </w:pPr>
      <w:r>
        <w:rPr>
          <w:rStyle w:val="VerbatimChar"/>
        </w:rPr>
        <w:t xml:space="preserve">campaigns/WF-29-abandoned-checkout.md</w:t>
      </w:r>
      <w:r>
        <w:t xml:space="preserve"> </w:t>
      </w:r>
      <w:r>
        <w:t xml:space="preserve">Touch 2, cost paragraph — highest-intent moment, cost is the named objection</w:t>
      </w:r>
    </w:p>
    <w:p>
      <w:pPr>
        <w:pStyle w:val="Compact"/>
        <w:numPr>
          <w:ilvl w:val="1"/>
          <w:numId w:val="1054"/>
        </w:numPr>
      </w:pPr>
      <w:r>
        <w:rPr>
          <w:rStyle w:val="VerbatimChar"/>
        </w:rPr>
        <w:t xml:space="preserve">campaigns/consumer-drip.md</w:t>
      </w:r>
      <w:r>
        <w:t xml:space="preserve"> </w:t>
      </w:r>
      <w:r>
        <w:t xml:space="preserve">Touch 8 (</w:t>
      </w:r>
      <w:r>
        <w:t xml:space="preserve">“What $2,995 works out to per session”</w:t>
      </w:r>
      <w:r>
        <w:t xml:space="preserve">) — appended to the financing clause</w:t>
      </w:r>
    </w:p>
    <w:p>
      <w:pPr>
        <w:pStyle w:val="Compact"/>
        <w:numPr>
          <w:ilvl w:val="1"/>
          <w:numId w:val="1054"/>
        </w:numPr>
      </w:pPr>
      <w:r>
        <w:rPr>
          <w:rStyle w:val="VerbatimChar"/>
        </w:rPr>
        <w:t xml:space="preserve">campaigns/WF-17-long-term-nurture.md</w:t>
      </w:r>
      <w:r>
        <w:t xml:space="preserve"> </w:t>
      </w:r>
      <w:r>
        <w:t xml:space="preserve">Touch 4 (</w:t>
      </w:r>
      <w:r>
        <w:t xml:space="preserve">“Is $2,995 a lot for light?”</w:t>
      </w:r>
      <w:r>
        <w:t xml:space="preserve">) — own short paragraph after the household-of-six line</w:t>
      </w:r>
    </w:p>
    <w:p>
      <w:pPr>
        <w:pStyle w:val="Compact"/>
        <w:numPr>
          <w:ilvl w:val="1"/>
          <w:numId w:val="1054"/>
        </w:numPr>
      </w:pPr>
      <w:r>
        <w:rPr>
          <w:rStyle w:val="VerbatimChar"/>
        </w:rPr>
        <w:t xml:space="preserve">Enyrgy_Paperclip_Knowledge_Base.md</w:t>
      </w:r>
      <w:r>
        <w:t xml:space="preserve"> </w:t>
      </w:r>
      <w:r>
        <w:t xml:space="preserve">§3 payment options</w:t>
      </w:r>
    </w:p>
    <w:p>
      <w:pPr>
        <w:pStyle w:val="Compact"/>
        <w:numPr>
          <w:ilvl w:val="1"/>
          <w:numId w:val="1054"/>
        </w:numPr>
      </w:pPr>
      <w:r>
        <w:rPr>
          <w:b/>
          <w:bCs/>
        </w:rPr>
        <w:t xml:space="preserve">Deliberately excluded:</w:t>
      </w:r>
      <w:r>
        <w:t xml:space="preserve"> </w:t>
      </w:r>
      <w:r>
        <w:t xml:space="preserve">all SMS (speed-to-lead and awareness touches, not cost touches; the Consumer Drip SMS already runs ~254 chars / two segments), commercial and partner drips, and the WF-20 / WF-13 / WF-22 closes, whose closing beats are the guarantee and the mechanism rather than price.</w:t>
      </w:r>
    </w:p>
    <w:p>
      <w:pPr>
        <w:pStyle w:val="Compact"/>
        <w:numPr>
          <w:ilvl w:val="0"/>
          <w:numId w:val="1055"/>
        </w:numPr>
      </w:pPr>
      <w:r>
        <w:rPr>
          <w:b/>
          <w:bCs/>
        </w:rPr>
        <w:t xml:space="preserve">KB Section 3 payment options: DONE Aug 9.</w:t>
      </w:r>
      <w:r>
        <w:t xml:space="preserve"> </w:t>
      </w:r>
      <w:r>
        <w:t xml:space="preserve">Now reads</w:t>
      </w:r>
      <w:r>
        <w:t xml:space="preserve"> </w:t>
      </w:r>
      <w:r>
        <w:t xml:space="preserve">“paid in full, financed, rented monthly, or purchased with HSA/FSA funds through Truemed”</w:t>
      </w:r>
      <w:r>
        <w:t xml:space="preserve">, with the authorized-phrasing rule and the wall-mount exclusion recorded inline.</w:t>
      </w:r>
    </w:p>
    <w:p>
      <w:pPr>
        <w:pStyle w:val="Compact"/>
        <w:numPr>
          <w:ilvl w:val="0"/>
          <w:numId w:val="1056"/>
        </w:numPr>
      </w:pPr>
      <w:r>
        <w:rPr>
          <w:b/>
          <w:bCs/>
        </w:rPr>
        <w:t xml:space="preserve">Re-sync the live</w:t>
      </w:r>
      <w:r>
        <w:rPr>
          <w:b/>
          <w:bCs/>
        </w:rPr>
        <w:t xml:space="preserve"> </w:t>
      </w:r>
      <w:r>
        <w:rPr>
          <w:rStyle w:val="VerbatimChar"/>
          <w:b/>
          <w:bCs/>
        </w:rPr>
        <w:t xml:space="preserve">enyrgy-knowledge-base</w:t>
      </w:r>
      <w:r>
        <w:rPr>
          <w:b/>
          <w:bCs/>
        </w:rPr>
        <w:t xml:space="preserve"> </w:t>
      </w:r>
      <w:r>
        <w:rPr>
          <w:b/>
          <w:bCs/>
        </w:rPr>
        <w:t xml:space="preserve">skill: DONE Aug 9.</w:t>
      </w:r>
      <w:r>
        <w:t xml:space="preserve"> </w:t>
      </w:r>
      <w:r>
        <w:t xml:space="preserve">Sales Outreach now answers with HSA/FSA in the payment options instead of the old three-ways-to-pay KB.</w:t>
      </w:r>
    </w:p>
    <w:p>
      <w:pPr>
        <w:pStyle w:val="Compact"/>
        <w:numPr>
          <w:ilvl w:val="0"/>
          <w:numId w:val="1057"/>
        </w:numPr>
      </w:pPr>
      <w:r>
        <w:rPr>
          <w:b/>
          <w:bCs/>
        </w:rPr>
        <w:t xml:space="preserve">WAITING ON TRUEMED: commercial-side determination, in writing.</w:t>
      </w:r>
      <w:r>
        <w:t xml:space="preserve"> </w:t>
      </w:r>
      <w:r>
        <w:t xml:space="preserve">Can a facility member use HSA/FSA against a membership that includes Enyrgy?</w:t>
      </w:r>
      <w:r>
        <w:t xml:space="preserve"> </w:t>
      </w:r>
      <w:r>
        <w:rPr>
          <w:b/>
          <w:bCs/>
        </w:rPr>
        <w:t xml:space="preserve">Membership and session fees: no</w:t>
      </w:r>
      <w:r>
        <w:t xml:space="preserve">, settled — that is a membership, not a personal medical purchase, and it needs no determination from anyone.</w:t>
      </w:r>
      <w:r>
        <w:t xml:space="preserve"> </w:t>
      </w:r>
      <w:r>
        <w:rPr>
          <w:b/>
          <w:bCs/>
        </w:rPr>
        <w:t xml:space="preserve">A member buying their own home Consumer Unit through the facility: Scott’s read is yes</w:t>
      </w:r>
      <w:r>
        <w:t xml:space="preserve">, being the same personal device purchase as any direct consumer order,</w:t>
      </w:r>
      <w:r>
        <w:t xml:space="preserve"> </w:t>
      </w:r>
      <w:r>
        <w:rPr>
          <w:b/>
          <w:bCs/>
        </w:rPr>
        <w:t xml:space="preserve">but this is pending written confirmation from Truemed and must not appear in copy or in an agent’s answer until it lands.</w:t>
      </w:r>
      <w:r>
        <w:t xml:space="preserve"> </w:t>
      </w:r>
      <w:r>
        <w:t xml:space="preserve">KB §3 currently instructs agents to escalate rather than answer. Relevant to the Beyond Wellness conversation with Gino, and a genuine channel angle if confirmed: a facility could offer its members a home unit they buy with HSA/FSA funds. Draft commercial-drip copy exists for Touch 7 and is deliberately unapplied pending the answer; the open question of what margin an operator makes reselling a Consumer Unit should be settled at the same time.</w:t>
      </w:r>
      <w:r>
        <w:t xml:space="preserve"> </w:t>
      </w:r>
      <w:r>
        <w:rPr>
          <w:b/>
          <w:bCs/>
        </w:rPr>
        <w:t xml:space="preserve">The consumer determination is final and unaffected by any of this.</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8"/>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9"/>
        </w:numPr>
      </w:pPr>
      <w:r>
        <w:rPr>
          <w:b/>
          <w:bCs/>
        </w:rPr>
        <w:t xml:space="preserve">Four GHL workflows created and left in Draft</w:t>
      </w:r>
      <w:r>
        <w:t xml:space="preserve">, each with a mapping reference captured from a sample payload: WF-32, WF-32T, WF-33, WF-33T.</w:t>
      </w:r>
    </w:p>
    <w:p>
      <w:pPr>
        <w:pStyle w:val="Compact"/>
        <w:numPr>
          <w:ilvl w:val="0"/>
          <w:numId w:val="1060"/>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61"/>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61"/>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61"/>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61"/>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2"/>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3"/>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4"/>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5"/>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6"/>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7"/>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8"/>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9"/>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70"/>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71"/>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2"/>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3"/>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4"/>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4"/>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4"/>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4"/>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4"/>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4"/>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5"/>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5"/>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5"/>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5"/>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5"/>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5"/>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5"/>
        </w:numPr>
      </w:pPr>
      <w:r>
        <w:t xml:space="preserve">☒</w:t>
      </w:r>
      <w:r>
        <w:t xml:space="preserve"> </w:t>
      </w:r>
      <w:r>
        <w:rPr>
          <w:b/>
          <w:bCs/>
        </w:rPr>
        <w:t xml:space="preserve">Spam contacts and their Opportunities deleted.</w:t>
      </w:r>
    </w:p>
    <w:p>
      <w:pPr>
        <w:pStyle w:val="Compact"/>
        <w:numPr>
          <w:ilvl w:val="0"/>
          <w:numId w:val="1075"/>
        </w:numPr>
      </w:pPr>
      <w:r>
        <w:t xml:space="preserve">☒</w:t>
      </w:r>
      <w:r>
        <w:t xml:space="preserve"> </w:t>
      </w:r>
      <w:r>
        <w:rPr>
          <w:b/>
          <w:bCs/>
        </w:rPr>
        <w:t xml:space="preserve">WF-35 call branch BUILT and verified (Aug 7).</w:t>
      </w:r>
      <w:r>
        <w:t xml:space="preserve"> </w:t>
      </w:r>
      <w:r>
        <w:t xml:space="preserve">A third branch,</w:t>
      </w:r>
      <w:r>
        <w:t xml:space="preserve"> </w:t>
      </w:r>
      <w:r>
        <w:rPr>
          <w:rStyle w:val="VerbatimChar"/>
        </w:rPr>
        <w:t xml:space="preserve">Call or Voicemail</w:t>
      </w:r>
      <w:r>
        <w:t xml:space="preserve">, conditioned on</w:t>
      </w:r>
      <w:r>
        <w:t xml:space="preserve"> </w:t>
      </w:r>
      <w:r>
        <w:rPr>
          <w:rStyle w:val="VerbatimChar"/>
        </w:rPr>
        <w:t xml:space="preserve">Replied message Is empty</w:t>
      </w:r>
      <w:r>
        <w:t xml:space="preserve"> </w:t>
      </w:r>
      <w:r>
        <w:t xml:space="preserve">and</w:t>
      </w:r>
      <w:r>
        <w:t xml:space="preserve"> </w:t>
      </w:r>
      <w:r>
        <w:rPr>
          <w:b/>
          <w:bCs/>
        </w:rPr>
        <w:t xml:space="preserve">ordered first</w:t>
      </w:r>
      <w:r>
        <w:t xml:space="preserve">, sends a call-specific notification naming the number. Ordering is the design: GHL takes the first matching branch, so placing it second would let a call from a contact who has an owner fall through and render</w:t>
      </w:r>
      <w:r>
        <w:t xml:space="preserve"> </w:t>
      </w:r>
      <w:r>
        <w:rPr>
          <w:rStyle w:val="VerbatimChar"/>
        </w:rPr>
        <w:t xml:space="preserve">undefined</w:t>
      </w:r>
      <w:r>
        <w:t xml:space="preserve"> </w:t>
      </w:r>
      <w:r>
        <w:t xml:space="preserve">again, rarely enough to be hard to spot.</w:t>
      </w:r>
    </w:p>
    <w:p>
      <w:pPr>
        <w:pStyle w:val="Compact"/>
        <w:numPr>
          <w:ilvl w:val="1"/>
          <w:numId w:val="1076"/>
        </w:numPr>
      </w:pPr>
      <w:r>
        <w:rPr>
          <w:b/>
          <w:bCs/>
        </w:rPr>
        <w:t xml:space="preserve">Verified end to end</w:t>
      </w:r>
      <w:r>
        <w:t xml:space="preserve"> </w:t>
      </w:r>
      <w:r>
        <w:t xml:space="preserve">by calling 888-316-1695 from Scott’s mobile and letting it reach voicemail. The phone rang showing 888-316-1695, and the notification arrived as</w:t>
      </w:r>
      <w:r>
        <w:t xml:space="preserve"> </w:t>
      </w:r>
      <w:r>
        <w:rPr>
          <w:rStyle w:val="VerbatimChar"/>
        </w:rPr>
        <w:t xml:space="preserve">Inbound call:</w:t>
      </w:r>
      <w:r>
        <w:t xml:space="preserve"> </w:t>
      </w:r>
      <w:r>
        <w:t xml:space="preserve">with the number populated,</w:t>
      </w:r>
      <w:r>
        <w:t xml:space="preserve"> </w:t>
      </w:r>
      <w:r>
        <w:rPr>
          <w:b/>
          <w:bCs/>
        </w:rPr>
        <w:t xml:space="preserve">confirming both the branch order and the caller-ID fix in a single test.</w:t>
      </w:r>
    </w:p>
    <w:p>
      <w:pPr>
        <w:pStyle w:val="Compact"/>
        <w:numPr>
          <w:ilvl w:val="1"/>
          <w:numId w:val="1076"/>
        </w:numPr>
      </w:pPr>
      <w:r>
        <w:rPr>
          <w:b/>
          <w:bCs/>
        </w:rPr>
        <w:t xml:space="preserve">The call channel was deliberately not filtered out</w:t>
      </w:r>
      <w:r>
        <w:t xml:space="preserve">, which was the obvious fix and the wrong one. Those useless</w:t>
      </w:r>
      <w:r>
        <w:t xml:space="preserve"> </w:t>
      </w:r>
      <w:r>
        <w:rPr>
          <w:rStyle w:val="VerbatimChar"/>
        </w:rPr>
        <w:t xml:space="preserve">undefined</w:t>
      </w:r>
      <w:r>
        <w:t xml:space="preserve"> </w:t>
      </w:r>
      <w:r>
        <w:t xml:space="preserve">notifications were the only thing that surfaced the silenced business line. Filtering would have restored the silence that had to be found by accident.</w:t>
      </w:r>
    </w:p>
    <w:p>
      <w:pPr>
        <w:pStyle w:val="Compact"/>
        <w:numPr>
          <w:ilvl w:val="0"/>
          <w:numId w:val="1075"/>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17"/>
    <w:bookmarkStart w:id="1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7"/>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7"/>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7"/>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7"/>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7"/>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7"/>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7"/>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8"/>
    <w:bookmarkStart w:id="19" w:name="X787c6ae49ec488fed45086d4c0a203c1e5c3e7f"/>
    <w:p>
      <w:pPr>
        <w:pStyle w:val="Heading2"/>
      </w:pPr>
      <w:r>
        <w:t xml:space="preserve">5. Strategic architecture decisions (mostly ratify, not build)</w:t>
      </w:r>
    </w:p>
    <w:p>
      <w:pPr>
        <w:pStyle w:val="Compact"/>
        <w:numPr>
          <w:ilvl w:val="0"/>
          <w:numId w:val="1078"/>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9"/>
        </w:numPr>
      </w:pPr>
      <w:r>
        <w:rPr>
          <w:b/>
          <w:bCs/>
        </w:rPr>
        <w:t xml:space="preserve">System-of-record ownership map:</w:t>
      </w:r>
      <w:r>
        <w:t xml:space="preserve"> </w:t>
      </w:r>
      <w:r>
        <w:t xml:space="preserve">ratify the documented SoR (decision/doc task).</w:t>
      </w:r>
    </w:p>
    <w:p>
      <w:pPr>
        <w:pStyle w:val="Compact"/>
        <w:numPr>
          <w:ilvl w:val="0"/>
          <w:numId w:val="1080"/>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1"/>
        </w:numPr>
      </w:pPr>
      <w:r>
        <w:rPr>
          <w:b/>
          <w:bCs/>
        </w:rPr>
        <w:t xml:space="preserve">OEM / Lumanova data boundary:</w:t>
      </w:r>
      <w:r>
        <w:t xml:space="preserve"> </w:t>
      </w:r>
      <w:r>
        <w:t xml:space="preserve">formalize an auditable path as the partner program grows.</w:t>
      </w:r>
    </w:p>
    <w:p>
      <w:pPr>
        <w:pStyle w:val="Compact"/>
        <w:numPr>
          <w:ilvl w:val="0"/>
          <w:numId w:val="1082"/>
        </w:numPr>
      </w:pPr>
      <w:r>
        <w:rPr>
          <w:b/>
          <w:bCs/>
        </w:rPr>
        <w:t xml:space="preserve">Metric governance owner:</w:t>
      </w:r>
      <w:r>
        <w:t xml:space="preserve"> </w:t>
      </w:r>
      <w:r>
        <w:t xml:space="preserve">figures reconciled; assign a single owner.</w:t>
      </w:r>
    </w:p>
    <w:p>
      <w:pPr>
        <w:pStyle w:val="Compact"/>
        <w:numPr>
          <w:ilvl w:val="0"/>
          <w:numId w:val="1083"/>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4"/>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9"/>
    <w:bookmarkStart w:id="20" w:name="future-optional"/>
    <w:p>
      <w:pPr>
        <w:pStyle w:val="Heading2"/>
      </w:pPr>
      <w:r>
        <w:t xml:space="preserve">6. Future / optional</w:t>
      </w:r>
    </w:p>
    <w:p>
      <w:pPr>
        <w:pStyle w:val="Compact"/>
        <w:numPr>
          <w:ilvl w:val="0"/>
          <w:numId w:val="1085"/>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6"/>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7"/>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8"/>
        </w:numPr>
      </w:pPr>
      <w:r>
        <w:rPr>
          <w:b/>
          <w:bCs/>
        </w:rPr>
        <w:t xml:space="preserve">Paid acquisition</w:t>
      </w:r>
      <w:r>
        <w:t xml:space="preserve"> </w:t>
      </w:r>
      <w:r>
        <w:t xml:space="preserve">(Meta/Google): after domain warmup finishes.</w:t>
      </w:r>
    </w:p>
    <w:p>
      <w:pPr>
        <w:pStyle w:val="Compact"/>
        <w:numPr>
          <w:ilvl w:val="0"/>
          <w:numId w:val="1089"/>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0"/>
        </w:numPr>
      </w:pPr>
      <w:r>
        <w:rPr>
          <w:b/>
          <w:bCs/>
        </w:rPr>
        <w:t xml:space="preserve">Form embeds:</w:t>
      </w:r>
      <w:r>
        <w:t xml:space="preserve"> </w:t>
      </w:r>
      <w:r>
        <w:t xml:space="preserve">Commercial Inquiry + Partner Application forms onto go.enyrgy.com (developer).</w:t>
      </w:r>
    </w:p>
    <w:p>
      <w:pPr>
        <w:pStyle w:val="Compact"/>
        <w:numPr>
          <w:ilvl w:val="0"/>
          <w:numId w:val="1091"/>
        </w:numPr>
      </w:pPr>
      <w:r>
        <w:rPr>
          <w:b/>
          <w:bCs/>
        </w:rPr>
        <w:t xml:space="preserve">Upgrade the abandoned-checkout Railway service off trial</w:t>
      </w:r>
      <w:r>
        <w:t xml:space="preserve"> </w:t>
      </w:r>
      <w:r>
        <w:t xml:space="preserve">(may already be on Hobby; confirm).</w:t>
      </w:r>
    </w:p>
    <w:bookmarkEnd w:id="20"/>
    <w:bookmarkStart w:id="21" w:name="X99a4122416d3be25b3ec730ee1c5d273b04fea6"/>
    <w:p>
      <w:pPr>
        <w:pStyle w:val="Heading2"/>
      </w:pPr>
      <w:r>
        <w:t xml:space="preserve">6b. Content backup gap: CLOSED August 3, 2026</w:t>
      </w:r>
    </w:p>
    <w:p>
      <w:pPr>
        <w:pStyle w:val="Compact"/>
        <w:numPr>
          <w:ilvl w:val="0"/>
          <w:numId w:val="1092"/>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3"/>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4"/>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4"/>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4"/>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4"/>
        </w:numPr>
      </w:pPr>
      <w:r>
        <w:rPr>
          <w:b/>
          <w:bCs/>
        </w:rPr>
        <w:t xml:space="preserve">Secondary benefit:</w:t>
      </w:r>
      <w:r>
        <w:t xml:space="preserve"> </w:t>
      </w:r>
      <w:r>
        <w:t xml:space="preserve">makes the copy greppable, so subject lines and claims can be located and audited without clicking through GHL.</w:t>
      </w:r>
    </w:p>
    <w:bookmarkEnd w:id="21"/>
    <w:bookmarkStart w:id="22" w:name="documentation-hygiene"/>
    <w:p>
      <w:pPr>
        <w:pStyle w:val="Heading2"/>
      </w:pPr>
      <w:r>
        <w:t xml:space="preserve">7. Documentation hygiene</w:t>
      </w:r>
    </w:p>
    <w:p>
      <w:pPr>
        <w:numPr>
          <w:ilvl w:val="0"/>
          <w:numId w:val="1095"/>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6"/>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7"/>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8"/>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099"/>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0"/>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1"/>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2"/>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3"/>
        </w:numPr>
      </w:pPr>
      <w:r>
        <w:rPr>
          <w:b/>
          <w:bCs/>
        </w:rPr>
        <w:t xml:space="preserve">Campaign copy backed up:</w:t>
      </w:r>
      <w:r>
        <w:t xml:space="preserve"> </w:t>
      </w:r>
      <w:r>
        <w:t xml:space="preserve">see 6b. Standing Rule 9 added to the handoff, save the artifact and not a description of it.</w:t>
      </w:r>
    </w:p>
    <w:bookmarkEnd w:id="22"/>
    <w:bookmarkStart w:id="23" w:name="X4ef6576507d0fd69ab3954b626c150ac8397a60"/>
    <w:p>
      <w:pPr>
        <w:pStyle w:val="Heading2"/>
      </w:pPr>
      <w:r>
        <w:t xml:space="preserve">8. Standing operating discipline (adopted Session 15)</w:t>
      </w:r>
    </w:p>
    <w:p>
      <w:pPr>
        <w:pStyle w:val="Compact"/>
        <w:numPr>
          <w:ilvl w:val="0"/>
          <w:numId w:val="1104"/>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5"/>
        </w:numPr>
      </w:pPr>
      <w:r>
        <w:rPr>
          <w:b/>
          <w:bCs/>
        </w:rPr>
        <w:t xml:space="preserve">Keep credit buffered and watch the Costs page.</w:t>
      </w:r>
      <w:r>
        <w:t xml:space="preserve"> </w:t>
      </w:r>
      <w:r>
        <w:t xml:space="preserve">Starvation is more expensive than headroom, not cheaper.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3"/>
  </w:num>
  <w:num w:numId="1053">
    <w:abstractNumId w:val="993"/>
  </w:num>
  <w:num w:numId="1054">
    <w:abstractNumId w:val="991"/>
  </w:num>
  <w:num w:numId="1055">
    <w:abstractNumId w:val="993"/>
  </w:num>
  <w:num w:numId="1056">
    <w:abstractNumId w:val="993"/>
  </w:num>
  <w:num w:numId="1057">
    <w:abstractNumId w:val="992"/>
  </w:num>
  <w:num w:numId="1058">
    <w:abstractNumId w:val="993"/>
  </w:num>
  <w:num w:numId="1059">
    <w:abstractNumId w:val="993"/>
  </w:num>
  <w:num w:numId="1060">
    <w:abstractNumId w:val="993"/>
  </w:num>
  <w:num w:numId="1061">
    <w:abstractNumId w:val="991"/>
  </w:num>
  <w:num w:numId="1062">
    <w:abstractNumId w:val="992"/>
  </w:num>
  <w:num w:numId="1063">
    <w:abstractNumId w:val="992"/>
  </w:num>
  <w:num w:numId="1064">
    <w:abstractNumId w:val="992"/>
  </w:num>
  <w:num w:numId="1065">
    <w:abstractNumId w:val="992"/>
  </w:num>
  <w:num w:numId="1066">
    <w:abstractNumId w:val="992"/>
  </w:num>
  <w:num w:numId="1067">
    <w:abstractNumId w:val="993"/>
  </w:num>
  <w:num w:numId="1068">
    <w:abstractNumId w:val="993"/>
  </w:num>
  <w:num w:numId="1069">
    <w:abstractNumId w:val="993"/>
  </w:num>
  <w:num w:numId="1070">
    <w:abstractNumId w:val="993"/>
  </w:num>
  <w:num w:numId="1071">
    <w:abstractNumId w:val="993"/>
  </w:num>
  <w:num w:numId="1072">
    <w:abstractNumId w:val="992"/>
  </w:num>
  <w:num w:numId="1073">
    <w:abstractNumId w:val="993"/>
  </w:num>
  <w:num w:numId="1074">
    <w:abstractNumId w:val="991"/>
  </w:num>
  <w:num w:numId="1075">
    <w:abstractNumId w:val="991"/>
  </w:num>
  <w:num w:numId="1076">
    <w:abstractNumId w:val="991"/>
  </w:num>
  <w:num w:numId="1077">
    <w:abstractNumId w:val="991"/>
  </w:num>
  <w:num w:numId="1078">
    <w:abstractNumId w:val="992"/>
  </w:num>
  <w:num w:numId="1079">
    <w:abstractNumId w:val="992"/>
  </w:num>
  <w:num w:numId="1080">
    <w:abstractNumId w:val="992"/>
  </w:num>
  <w:num w:numId="1081">
    <w:abstractNumId w:val="992"/>
  </w:num>
  <w:num w:numId="1082">
    <w:abstractNumId w:val="992"/>
  </w:num>
  <w:num w:numId="1083">
    <w:abstractNumId w:val="993"/>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3"/>
  </w:num>
  <w:num w:numId="1093">
    <w:abstractNumId w:val="993"/>
  </w:num>
  <w:num w:numId="1094">
    <w:abstractNumId w:val="991"/>
  </w:num>
  <w:num w:numId="1095">
    <w:abstractNumId w:val="993"/>
  </w:num>
  <w:num w:numId="1096">
    <w:abstractNumId w:val="993"/>
  </w:num>
  <w:num w:numId="1097">
    <w:abstractNumId w:val="992"/>
  </w:num>
  <w:num w:numId="1098">
    <w:abstractNumId w:val="993"/>
  </w:num>
  <w:num w:numId="1099">
    <w:abstractNumId w:val="993"/>
  </w:num>
  <w:num w:numId="1100">
    <w:abstractNumId w:val="993"/>
  </w:num>
  <w:num w:numId="1101">
    <w:abstractNumId w:val="993"/>
  </w:num>
  <w:num w:numId="1102">
    <w:abstractNumId w:val="993"/>
  </w:num>
  <w:num w:numId="1103">
    <w:abstractNumId w:val="993"/>
  </w:num>
  <w:num w:numId="1104">
    <w:abstractNumId w:val="992"/>
  </w:num>
  <w:num w:numId="11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2026-08-12T21:50:39Z</dcterms:created>
  <dcterms:modified xsi:type="dcterms:W3CDTF">2026-08-12T21:50:39Z</dcterms:modified>
</cp:coreProperties>
</file>

<file path=docProps/custom.xml><?xml version="1.0" encoding="utf-8"?>
<Properties xmlns="http://schemas.openxmlformats.org/officeDocument/2006/custom-properties" xmlns:vt="http://schemas.openxmlformats.org/officeDocument/2006/docPropsVTypes"/>
</file>