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r>
        <w:pict>
          <v:rect style="width:0;height:1.5pt" o:hralign="center" o:hrstd="t" o:hr="t"/>
        </w:pict>
      </w:r>
    </w:p>
    <w:bookmarkStart w:id="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w:t>
      </w:r>
      <w:r>
        <w:t xml:space="preserve"> </w:t>
      </w:r>
      <w:r>
        <w:t xml:space="preserve">“600+ customers”</w:t>
      </w:r>
      <w:r>
        <w:t xml:space="preserve"> </w:t>
      </w:r>
      <w:r>
        <w:t xml:space="preserve">overstates unit sales. Use</w:t>
      </w:r>
      <w:r>
        <w:t xml:space="preserve"> </w:t>
      </w:r>
      <w:r>
        <w:t xml:space="preserve">“600+ users”</w:t>
      </w:r>
      <w:r>
        <w:t xml:space="preserve"> </w:t>
      </w:r>
      <w:r>
        <w:t xml:space="preserve">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(CFO).</w:t>
      </w:r>
    </w:p>
    <w:p>
      <w:pPr>
        <w:pStyle w:val="Compact"/>
        <w:numPr>
          <w:ilvl w:val="0"/>
          <w:numId w:val="1001"/>
        </w:numPr>
      </w:pPr>
      <w:r>
        <w:t xml:space="preserve">Founder track record (verified, investor-facing): Scott Hansbury, 8 startups, 5 exits, $500M+ in value created. David Letourneau, scaled Alair Homes from 1 to 100+ locations, $750M+ in sales.</w:t>
      </w:r>
      <w:r>
        <w:t xml:space="preserve"> </w:t>
      </w:r>
      <w:r>
        <w:rPr>
          <w:b/>
          <w:bCs/>
        </w:rPr>
        <w:t xml:space="preserve">Brian Cameron,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9"/>
    <w:bookmarkStart w:id="1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w:t>
      </w:r>
      <w:r>
        <w:t xml:space="preserve">“no other solution delivers all three”</w:t>
      </w:r>
      <w:r>
        <w:t xml:space="preserv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0"/>
    <w:bookmarkStart w:id="1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rented monthly, or purchased with HSA/FSA funds through Truemed, so it can fit a monthly budget instead of a lump sum. Financing and rental are both real, offered options; specific rates and terms are not yet in the KB, so confirm with the KB Manager before quoting any figure.</w:t>
      </w:r>
      <w:r>
        <w:t xml:space="preserve"> </w:t>
      </w:r>
      <w:r>
        <w:rPr>
          <w:b/>
          <w:bCs/>
        </w:rPr>
        <w:t xml:space="preserve">HSA/FSA (approved August 2026):</w:t>
      </w:r>
      <w:r>
        <w:t xml:space="preserve"> </w:t>
      </w:r>
      <w:r>
        <w:t xml:space="preserve">the only authorized phrasing is</w:t>
      </w:r>
      <w:r>
        <w:t xml:space="preserve"> </w:t>
      </w:r>
      <w:r>
        <w:t xml:space="preserve">“HSA/FSA eligible through Truemed”</w:t>
      </w:r>
      <w:r>
        <w:t xml:space="preserve">. Never explain eligibility in condition-or-treatment terms and never describe the Letter of Medical Necessity — that framing is prohibited regardless of what Truemed’s own copy blocks say.</w:t>
      </w:r>
      <w:r>
        <w:t xml:space="preserve"> </w:t>
      </w:r>
      <w:r>
        <w:rPr>
          <w:b/>
          <w:bCs/>
        </w:rPr>
        <w:t xml:space="preserve">Eligibility covers the Consumer Unit only. The wall mount is excluded</w:t>
      </w:r>
      <w:r>
        <w:t xml:space="preserve">, so never imply cart-wide eligibility. The commercial unit is out of scope entirely: a facility purchase is a business expense, not a personal medical one.</w:t>
      </w:r>
      <w:r>
        <w:t xml:space="preserve"> </w:t>
      </w:r>
      <w:r>
        <w:rPr>
          <w:b/>
          <w:bCs/>
        </w:rPr>
        <w:t xml:space="preserve">Facility members, membership is never eligible:</w:t>
      </w:r>
      <w:r>
        <w:t xml:space="preserve"> </w:t>
      </w:r>
      <w:r>
        <w:t xml:space="preserve">a member may NOT use HSA/FSA toward a membership or session fees that include Enyrgy access. That is a membership, not a personal medical purchase, and it depends on no pending determination.</w:t>
      </w:r>
      <w:r>
        <w:t xml:space="preserve"> </w:t>
      </w:r>
      <w:r>
        <w:rPr>
          <w:b/>
          <w:bCs/>
        </w:rPr>
        <w:t xml:space="preserve">Whether a member may use HSA/FSA on a home Consumer Unit bought through a facility is PENDING written confirmation from Truemed as of August 2026. Do not answer that question in either direction — escalate to Scott.</w:t>
      </w:r>
      <w:r>
        <w:t xml:space="preserve"> </w:t>
      </w:r>
      <w:r>
        <w:t xml:space="preserve">Everything above about the direct consumer purchase is settled and unaffected by this.</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w:t>
      </w:r>
      <w:r>
        <w:t xml:space="preserve"> </w:t>
      </w:r>
      <w:r>
        <w:t xml:space="preserve">“Limited batches”</w:t>
      </w:r>
      <w:r>
        <w:t xml:space="preserve"> </w:t>
      </w:r>
      <w:r>
        <w:t xml:space="preserve">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4"/>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4"/>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11"/>
    <w:bookmarkStart w:id="13" w:name="clinical-and-credibility-data"/>
    <w:p>
      <w:pPr>
        <w:pStyle w:val="Heading2"/>
      </w:pPr>
      <w:r>
        <w:t xml:space="preserve">4. Clinical and credibility data</w:t>
      </w:r>
    </w:p>
    <w:p>
      <w:pPr>
        <w:pStyle w:val="Compact"/>
        <w:numPr>
          <w:ilvl w:val="0"/>
          <w:numId w:val="1005"/>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5"/>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5"/>
        </w:numPr>
      </w:pPr>
      <w:r>
        <w:rPr>
          <w:b/>
          <w:bCs/>
        </w:rPr>
        <w:t xml:space="preserve">Never call it a pilot.</w:t>
      </w:r>
      <w:r>
        <w:t xml:space="preserve"> </w:t>
      </w:r>
      <w:r>
        <w:t xml:space="preserve">Use study, small study, or observational cohort.</w:t>
      </w:r>
      <w:r>
        <w:t xml:space="preserve"> </w:t>
      </w:r>
      <w:r>
        <w:t xml:space="preserve">“Pilot”</w:t>
      </w:r>
      <w:r>
        <w:t xml:space="preserve"> </w:t>
      </w:r>
      <w:r>
        <w:t xml:space="preserve">implies a pre-launch or beta program, and this study ran months after Enyrgy went to full production in the market. The word understates the product’s maturity while doing nothing to improve the honesty of the caveat, which</w:t>
      </w:r>
      <w:r>
        <w:t xml:space="preserve"> </w:t>
      </w:r>
      <w:r>
        <w:t xml:space="preserve">“small, N = 5, no control group”</w:t>
      </w:r>
      <w:r>
        <w:t xml:space="preserve"> </w:t>
      </w:r>
      <w:r>
        <w:t xml:space="preserve">already carries in full.</w:t>
      </w:r>
    </w:p>
    <w:p>
      <w:pPr>
        <w:pStyle w:val="Compact"/>
        <w:numPr>
          <w:ilvl w:val="0"/>
          <w:numId w:val="1005"/>
        </w:numPr>
      </w:pPr>
      <w:r>
        <w:rPr>
          <w:b/>
          <w:bCs/>
        </w:rPr>
        <w:t xml:space="preserve">Write</w:t>
      </w:r>
      <w:r>
        <w:rPr>
          <w:b/>
          <w:bCs/>
        </w:rPr>
        <w:t xml:space="preserve"> </w:t>
      </w:r>
      <w:r>
        <w:rPr>
          <w:b/>
          <w:bCs/>
        </w:rPr>
        <w:t xml:space="preserve">“the five participants,”</w:t>
      </w:r>
      <w:r>
        <w:rPr>
          <w:b/>
          <w:bCs/>
        </w:rPr>
        <w:t xml:space="preserve"> </w:t>
      </w:r>
      <w:r>
        <w:rPr>
          <w:b/>
          <w:bCs/>
        </w:rPr>
        <w:t xml:space="preserve">not</w:t>
      </w:r>
      <w:r>
        <w:rPr>
          <w:b/>
          <w:bCs/>
        </w:rPr>
        <w:t xml:space="preserve"> </w:t>
      </w:r>
      <w:r>
        <w:rPr>
          <w:b/>
          <w:bCs/>
        </w:rPr>
        <w:t xml:space="preserve">“five participants.”</w:t>
      </w:r>
      <w:r>
        <w:t xml:space="preserve"> </w:t>
      </w:r>
      <w:r>
        <w:t xml:space="preserve">Without the article the sentence reads as though a larger cohort was studied and only five of them responded.</w:t>
      </w:r>
    </w:p>
    <w:p>
      <w:pPr>
        <w:pStyle w:val="Compact"/>
        <w:numPr>
          <w:ilvl w:val="0"/>
          <w:numId w:val="1005"/>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5"/>
        </w:numPr>
      </w:pPr>
      <w:r>
        <w:t xml:space="preserve">Efficiency: 2.4x more efficient than sunlight for Vitamin D synthesis; 2 to 4 minutes equals 2 to 4 hours of mid-day sun (about 60x).</w:t>
      </w:r>
    </w:p>
    <w:p>
      <w:pPr>
        <w:pStyle w:val="Compact"/>
        <w:numPr>
          <w:ilvl w:val="0"/>
          <w:numId w:val="1005"/>
        </w:numPr>
      </w:pPr>
      <w:r>
        <w:t xml:space="preserve">Safety: 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5"/>
        </w:numPr>
      </w:pPr>
      <w:r>
        <w:t xml:space="preserve">Return rate under 1 percent, roughly 5 to 10x better than the industry average.</w:t>
      </w:r>
    </w:p>
    <w:bookmarkStart w:id="1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p>
    <w:bookmarkEnd w:id="12"/>
    <w:bookmarkEnd w:id="13"/>
    <w:bookmarkStart w:id="1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6"/>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6"/>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6"/>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14"/>
    <w:bookmarkStart w:id="15" w:name="X2416962bbe798b4d07d64a796f71649a000b8ee"/>
    <w:p>
      <w:pPr>
        <w:pStyle w:val="Heading2"/>
      </w:pPr>
      <w:r>
        <w:t xml:space="preserve">6. Approved talking points (voiced, use as written)</w:t>
      </w:r>
    </w:p>
    <w:p>
      <w:pPr>
        <w:pStyle w:val="Compact"/>
        <w:numPr>
          <w:ilvl w:val="0"/>
          <w:numId w:val="1007"/>
        </w:numPr>
      </w:pPr>
      <w:r>
        <w:t xml:space="preserve">Every human body was meant to thrive on sunlight. We just made it safe, personalized and controllable. (Standard Description, do not alter.)</w:t>
      </w:r>
    </w:p>
    <w:p>
      <w:pPr>
        <w:pStyle w:val="Compact"/>
        <w:numPr>
          <w:ilvl w:val="0"/>
          <w:numId w:val="1007"/>
        </w:numPr>
      </w:pPr>
      <w:r>
        <w:t xml:space="preserve">Get your body responding to sunlight the way it was meant to.</w:t>
      </w:r>
    </w:p>
    <w:p>
      <w:pPr>
        <w:pStyle w:val="Compact"/>
        <w:numPr>
          <w:ilvl w:val="0"/>
          <w:numId w:val="1007"/>
        </w:numPr>
      </w:pPr>
      <w:r>
        <w:t xml:space="preserve">Three biological pathways, switched on in 2 to 4 minutes.</w:t>
      </w:r>
    </w:p>
    <w:p>
      <w:pPr>
        <w:pStyle w:val="Compact"/>
        <w:numPr>
          <w:ilvl w:val="0"/>
          <w:numId w:val="1007"/>
        </w:numPr>
      </w:pPr>
      <w:r>
        <w:t xml:space="preserve">25,000+ sessions with zero adverse events.</w:t>
      </w:r>
    </w:p>
    <w:p>
      <w:pPr>
        <w:pStyle w:val="Compact"/>
        <w:numPr>
          <w:ilvl w:val="0"/>
          <w:numId w:val="1007"/>
        </w:numPr>
      </w:pPr>
      <w:r>
        <w:t xml:space="preserve">In our clinical study, 100 percent of participants reached optimal Vitamin D levels.</w:t>
      </w:r>
    </w:p>
    <w:p>
      <w:pPr>
        <w:pStyle w:val="Compact"/>
        <w:numPr>
          <w:ilvl w:val="0"/>
          <w:numId w:val="1007"/>
        </w:numPr>
      </w:pPr>
      <w:r>
        <w:t xml:space="preserve">2.4x more efficient than sunlight for Vitamin D synthesis.</w:t>
      </w:r>
    </w:p>
    <w:p>
      <w:pPr>
        <w:pStyle w:val="Compact"/>
        <w:numPr>
          <w:ilvl w:val="0"/>
          <w:numId w:val="1007"/>
        </w:numPr>
      </w:pPr>
      <w:r>
        <w:t xml:space="preserve">The app reads your skin type, sets your dose, and ends the session for you.</w:t>
      </w:r>
    </w:p>
    <w:p>
      <w:pPr>
        <w:pStyle w:val="Compact"/>
        <w:numPr>
          <w:ilvl w:val="0"/>
          <w:numId w:val="1007"/>
        </w:numPr>
      </w:pPr>
      <w:r>
        <w:t xml:space="preserve">Under 1 percent of people send it back. The industry lives at 5 to 10 percent.</w:t>
      </w:r>
    </w:p>
    <w:p>
      <w:pPr>
        <w:pStyle w:val="Compact"/>
        <w:numPr>
          <w:ilvl w:val="0"/>
          <w:numId w:val="1007"/>
        </w:numPr>
      </w:pPr>
      <w:r>
        <w:t xml:space="preserve">Built in Phoenix, Arizona. Made in USA.</w:t>
      </w:r>
    </w:p>
    <w:p>
      <w:pPr>
        <w:pStyle w:val="Compact"/>
        <w:numPr>
          <w:ilvl w:val="0"/>
          <w:numId w:val="1007"/>
        </w:numPr>
      </w:pPr>
      <w:r>
        <w:t xml:space="preserve">600+ users, 5 countries, zero paid ads.</w:t>
      </w:r>
    </w:p>
    <w:p>
      <w:pPr>
        <w:pStyle w:val="Compact"/>
        <w:numPr>
          <w:ilvl w:val="0"/>
          <w:numId w:val="1007"/>
        </w:numPr>
      </w:pPr>
      <w:r>
        <w:t xml:space="preserve">Lumanova picked our technology to launch their own light, Luma D Light.</w:t>
      </w:r>
    </w:p>
    <w:p>
      <w:pPr>
        <w:pStyle w:val="Compact"/>
        <w:numPr>
          <w:ilvl w:val="0"/>
          <w:numId w:val="1007"/>
        </w:numPr>
      </w:pPr>
      <w:r>
        <w:t xml:space="preserve">$2,995 to own it at home. $8,950 for the commercial unit.</w:t>
      </w:r>
    </w:p>
    <w:p>
      <w:pPr>
        <w:pStyle w:val="Compact"/>
        <w:numPr>
          <w:ilvl w:val="0"/>
          <w:numId w:val="1007"/>
        </w:numPr>
      </w:pPr>
      <w:r>
        <w:t xml:space="preserve">That is $2.30 a session at 5 a week over 5 years.</w:t>
      </w:r>
    </w:p>
    <w:p>
      <w:pPr>
        <w:pStyle w:val="Compact"/>
        <w:numPr>
          <w:ilvl w:val="0"/>
          <w:numId w:val="1007"/>
        </w:numPr>
      </w:pPr>
      <w:r>
        <w:t xml:space="preserve">90 percent of our customers run red light too. Different jobs, same routine.</w:t>
      </w:r>
    </w:p>
    <w:p>
      <w:pPr>
        <w:pStyle w:val="Compact"/>
        <w:numPr>
          <w:ilvl w:val="0"/>
          <w:numId w:val="1007"/>
        </w:numPr>
      </w:pPr>
      <w:r>
        <w:t xml:space="preserve">Sunlight. Evolved.</w:t>
      </w:r>
    </w:p>
    <w:bookmarkEnd w:id="15"/>
    <w:bookmarkStart w:id="16" w:name="objection-scripts-voiced"/>
    <w:p>
      <w:pPr>
        <w:pStyle w:val="Heading2"/>
      </w:pPr>
      <w:r>
        <w:t xml:space="preserve">7. Objection scripts (voiced)</w:t>
      </w:r>
    </w:p>
    <w:p>
      <w:pPr>
        <w:pStyle w:val="FirstParagraph"/>
      </w:pPr>
      <w:r>
        <w:rPr>
          <w:b/>
          <w:bCs/>
        </w:rPr>
        <w:t xml:space="preserve">Consumer</w:t>
      </w:r>
    </w:p>
    <w:p>
      <w:pPr>
        <w:pStyle w:val="Compact"/>
        <w:numPr>
          <w:ilvl w:val="0"/>
          <w:numId w:val="1008"/>
        </w:numPr>
      </w:pPr>
      <w:r>
        <w:t xml:space="preserve">Is this safe? Fair worry. Sunlight is about 95 percent UVA. We flipped it: over 90 percent UVB, under 10 percent UVA. The app reads your skin type, sets your personal dose, and ends the session for you. 25,000+ sessions in, zero burns, zero adverse events.</w:t>
      </w:r>
    </w:p>
    <w:p>
      <w:pPr>
        <w:pStyle w:val="Compact"/>
        <w:numPr>
          <w:ilvl w:val="0"/>
          <w:numId w:val="1008"/>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8"/>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8"/>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8"/>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09"/>
        </w:numPr>
      </w:pPr>
      <w:r>
        <w:t xml:space="preserve">We already have red light. Ninety percent of our customers use both. They do different biological jobs, so this sits alongside what you already offer instead of replacing it.</w:t>
      </w:r>
    </w:p>
    <w:p>
      <w:pPr>
        <w:pStyle w:val="Compact"/>
        <w:numPr>
          <w:ilvl w:val="0"/>
          <w:numId w:val="1009"/>
        </w:numPr>
      </w:pPr>
      <w:r>
        <w:t xml:space="preserve">Would clients pay? Vitamin D runs low in 77 percent of indoor adults, so the demand is already in your book. Operators are charging $49 to $125 a month for it, depending on their market and clientele.</w:t>
      </w:r>
    </w:p>
    <w:p>
      <w:pPr>
        <w:pStyle w:val="Compact"/>
        <w:numPr>
          <w:ilvl w:val="0"/>
          <w:numId w:val="1009"/>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0"/>
        </w:numPr>
      </w:pPr>
      <w:r>
        <w:t xml:space="preserve">Where is the equity upside? There is a conversion option at a 20 percent discount to an independent SEC valuation.</w:t>
      </w:r>
    </w:p>
    <w:p>
      <w:pPr>
        <w:pStyle w:val="Compact"/>
        <w:numPr>
          <w:ilvl w:val="0"/>
          <w:numId w:val="1010"/>
        </w:numPr>
      </w:pPr>
      <w:r>
        <w:t xml:space="preserve">Is this a crowded market? It looks crowded until you line up the mechanisms. Nobody else delivers all three pathways. We are a category of one.</w:t>
      </w:r>
    </w:p>
    <w:p>
      <w:pPr>
        <w:pStyle w:val="Compact"/>
        <w:numPr>
          <w:ilvl w:val="0"/>
          <w:numId w:val="1010"/>
        </w:numPr>
      </w:pPr>
      <w:r>
        <w:t xml:space="preserve">What is the exit? A strategic acquisition in the $100 to 150M range within 5 years. Natural buyers look like Philips, Apple Health, Peloton, AG1, or LVMH.</w:t>
      </w:r>
    </w:p>
    <w:bookmarkEnd w:id="16"/>
    <w:bookmarkStart w:id="17"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w:t>
      </w:r>
      <w:r>
        <w:t xml:space="preserve"> </w:t>
      </w:r>
      <w:r>
        <w:t xml:space="preserve">“in these trials”</w:t>
      </w:r>
      <w:r>
        <w:t xml:space="preserve"> </w:t>
      </w:r>
      <w:r>
        <w:t xml:space="preserve">or</w:t>
      </w:r>
      <w:r>
        <w:t xml:space="preserve"> </w:t>
      </w:r>
      <w:r>
        <w:t xml:space="preserve">“in the trials”</w:t>
      </w:r>
      <w:r>
        <w:t xml:space="preserve"> </w:t>
      </w:r>
      <w:r>
        <w:t xml:space="preserve">in copy: lifted out of this KB the citation stays behind and the phrase reads as though Enyrgy ran them. Investor-facing copy may name them as the Carlberg trials. (Carlberg,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17"/>
    <w:bookmarkStart w:id="18" w:name="brand-constants-locked"/>
    <w:p>
      <w:pPr>
        <w:pStyle w:val="Heading2"/>
      </w:pPr>
      <w:r>
        <w:t xml:space="preserve">9. Brand constants (locked)</w:t>
      </w:r>
    </w:p>
    <w:p>
      <w:pPr>
        <w:pStyle w:val="Compact"/>
        <w:numPr>
          <w:ilvl w:val="0"/>
          <w:numId w:val="1011"/>
        </w:numPr>
      </w:pPr>
      <w:r>
        <w:t xml:space="preserve">Accent: Sunrise Orange #E64C38 only. No violet, purple, or amber.</w:t>
      </w:r>
    </w:p>
    <w:p>
      <w:pPr>
        <w:pStyle w:val="Compact"/>
        <w:numPr>
          <w:ilvl w:val="0"/>
          <w:numId w:val="1011"/>
        </w:numPr>
      </w:pPr>
      <w:r>
        <w:t xml:space="preserve">Typography: Montserrat, all weights.</w:t>
      </w:r>
    </w:p>
    <w:p>
      <w:pPr>
        <w:pStyle w:val="Compact"/>
        <w:numPr>
          <w:ilvl w:val="0"/>
          <w:numId w:val="1011"/>
        </w:numPr>
      </w:pPr>
      <w:r>
        <w:t xml:space="preserve">Text: Deep Charcoal #1A1A1A. Panels: Warm Off-White #F7F4EE, Calm Beige #ECE4CF. Line #E2DBC9. Muted #6B6B66.</w:t>
      </w:r>
    </w:p>
    <w:p>
      <w:pPr>
        <w:pStyle w:val="Compact"/>
        <w:numPr>
          <w:ilvl w:val="0"/>
          <w:numId w:val="1011"/>
        </w:numPr>
      </w:pPr>
      <w:r>
        <w:t xml:space="preserve">Tagline:</w:t>
      </w:r>
      <w:r>
        <w:t xml:space="preserve"> </w:t>
      </w:r>
      <w:r>
        <w:t xml:space="preserve">“Sunlight. Evolved.”</w:t>
      </w:r>
    </w:p>
    <w:p>
      <w:pPr>
        <w:pStyle w:val="Compact"/>
        <w:numPr>
          <w:ilvl w:val="0"/>
          <w:numId w:val="1011"/>
        </w:numPr>
      </w:pPr>
      <w:r>
        <w:t xml:space="preserve">Voice: peer-to-peer, founder-to-peer. No em-dashes ever; use a comma, period, or rewrite. No icons or decorative glyphs.</w:t>
      </w:r>
    </w:p>
    <w:p>
      <w:pPr>
        <w:pStyle w:val="Compact"/>
        <w:numPr>
          <w:ilvl w:val="0"/>
          <w:numId w:val="1011"/>
        </w:numPr>
      </w:pPr>
      <w:r>
        <w:t xml:space="preserve">Age minimum for all audiences: 18.</w:t>
      </w:r>
    </w:p>
    <w:bookmarkEnd w:id="18"/>
    <w:bookmarkStart w:id="1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19"/>
    <w:bookmarkStart w:id="2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bCs/>
        </w:rPr>
        <w:t xml:space="preserve">Enyrgy is a wellness device, not medical, and makes no medical claims.</w:t>
      </w:r>
    </w:p>
    <w:bookmarkEnd w:id="20"/>
    <w:bookmarkStart w:id="2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21"/>
    <w:bookmarkStart w:id="22" w:name="investor-offering-details"/>
    <w:p>
      <w:pPr>
        <w:pStyle w:val="Heading2"/>
      </w:pPr>
      <w:r>
        <w:t xml:space="preserve">13. Investor offering details</w:t>
      </w:r>
    </w:p>
    <w:p>
      <w:pPr>
        <w:pStyle w:val="Compact"/>
        <w:numPr>
          <w:ilvl w:val="0"/>
          <w:numId w:val="1012"/>
        </w:numPr>
      </w:pPr>
      <w:r>
        <w:t xml:space="preserve">Structure: Private Credit, Promissory Note.</w:t>
      </w:r>
    </w:p>
    <w:p>
      <w:pPr>
        <w:pStyle w:val="Compact"/>
        <w:numPr>
          <w:ilvl w:val="0"/>
          <w:numId w:val="1012"/>
        </w:numPr>
      </w:pPr>
      <w:r>
        <w:t xml:space="preserve">Total raise: $3.5M. Minimum: $50,000. Return: 12 percent per annum. Term: 3 years.</w:t>
      </w:r>
    </w:p>
    <w:p>
      <w:pPr>
        <w:pStyle w:val="Compact"/>
        <w:numPr>
          <w:ilvl w:val="0"/>
          <w:numId w:val="1012"/>
        </w:numPr>
      </w:pPr>
      <w:r>
        <w:t xml:space="preserve">Interest paid quarterly (postponed the first 3 months).</w:t>
      </w:r>
    </w:p>
    <w:p>
      <w:pPr>
        <w:pStyle w:val="Compact"/>
        <w:numPr>
          <w:ilvl w:val="0"/>
          <w:numId w:val="1012"/>
        </w:numPr>
      </w:pPr>
      <w:r>
        <w:t xml:space="preserve">Conversion option: at investor discretion, 20 percent discount from an independent SEC valuation.</w:t>
      </w:r>
    </w:p>
    <w:p>
      <w:pPr>
        <w:pStyle w:val="Compact"/>
        <w:numPr>
          <w:ilvl w:val="0"/>
          <w:numId w:val="1012"/>
        </w:numPr>
      </w:pPr>
      <w:r>
        <w:t xml:space="preserve">Exit target: $100 to 150M in 5 years.</w:t>
      </w:r>
    </w:p>
    <w:p>
      <w:pPr>
        <w:pStyle w:val="Compact"/>
        <w:numPr>
          <w:ilvl w:val="0"/>
          <w:numId w:val="1012"/>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22"/>
    <w:bookmarkStart w:id="23" w:name="oem-partner-lumanova-luma-d-light"/>
    <w:p>
      <w:pPr>
        <w:pStyle w:val="Heading2"/>
      </w:pPr>
      <w:r>
        <w:t xml:space="preserve">14. OEM partner (Lumanova / Luma D Light)</w:t>
      </w:r>
    </w:p>
    <w:p>
      <w:pPr>
        <w:pStyle w:val="Compact"/>
        <w:numPr>
          <w:ilvl w:val="0"/>
          <w:numId w:val="1013"/>
        </w:numPr>
      </w:pPr>
      <w:r>
        <w:t xml:space="preserve">Partner: Lumanova. Product brand: Luma D Light. Pricing: same MSRP ($2,995 / $8,950).</w:t>
      </w:r>
    </w:p>
    <w:p>
      <w:pPr>
        <w:pStyle w:val="Compact"/>
        <w:numPr>
          <w:ilvl w:val="0"/>
          <w:numId w:val="1013"/>
        </w:numPr>
      </w:pPr>
      <w:r>
        <w:t xml:space="preserve">Arrangement: OEM white-label; Lumanova sells under their brand, Enyrgy manufactures. Exclusivity: Black Unit.</w:t>
      </w:r>
    </w:p>
    <w:p>
      <w:pPr>
        <w:pStyle w:val="Compact"/>
        <w:numPr>
          <w:ilvl w:val="0"/>
          <w:numId w:val="1013"/>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3"/>
        </w:numPr>
      </w:pPr>
      <w:r>
        <w:t xml:space="preserve">Any OEM matter escalates through the CEO to the human founders.</w:t>
      </w:r>
    </w:p>
    <w:p>
      <w:pPr>
        <w:pStyle w:val="Compact"/>
        <w:numPr>
          <w:ilvl w:val="0"/>
          <w:numId w:val="1013"/>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bookmarkEnd w:id="23"/>
    <w:bookmarkStart w:id="24" w:name="key-reference-facts-quick-lookup"/>
    <w:p>
      <w:pPr>
        <w:pStyle w:val="Heading2"/>
      </w:pPr>
      <w:r>
        <w:t xml:space="preserve">15. Key reference facts (quick lookup)</w:t>
      </w:r>
    </w:p>
    <w:tbl>
      <w:tblPr>
        <w:tblStyle w:val="Table"/>
        <w:tblW w:type="pct" w:w="5000"/>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Customers</w:t>
            </w:r>
          </w:p>
        </w:tc>
        <w:tc>
          <w:tcPr/>
          <w:p>
            <w:pPr>
              <w:pStyle w:val="Compact"/>
            </w:pPr>
            <w:r>
              <w:t xml:space="preserve">600+ across 5 countries</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2026-08-12T21:50:39Z</dcterms:created>
  <dcterms:modified xsi:type="dcterms:W3CDTF">2026-08-12T21:50:39Z</dcterms:modified>
</cp:coreProperties>
</file>

<file path=docProps/custom.xml><?xml version="1.0" encoding="utf-8"?>
<Properties xmlns="http://schemas.openxmlformats.org/officeDocument/2006/custom-properties" xmlns:vt="http://schemas.openxmlformats.org/officeDocument/2006/docPropsVTypes"/>
</file>