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ready now, lowest risk.</w:t>
      </w:r>
    </w:p>
    <w:p>
      <w:pPr>
        <w:pStyle w:val="Compact"/>
        <w:numPr>
          <w:ilvl w:val="1"/>
          <w:numId w:val="1003"/>
        </w:numPr>
      </w:pPr>
      <w:r>
        <w:t xml:space="preserve">Referral and Reviews,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GATED: enable only after WF-07 review link + referral app are done (see section 3).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GBP is verified/live; drop the review link in to replace the placeholder.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 the Shopify referral app</w:t>
      </w:r>
      <w:r>
        <w:t xml:space="preserve"> </w:t>
      </w:r>
      <w:r>
        <w:t xml:space="preserve">(ReferralCandy or Smile.io) so WF-07’s referral link is real. Gates the Referral and Reviews agent.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add to post-purchase follow-up.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verify conflict detection on the collective (Scott + David + Brian) call.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drafted (standalone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). Needs Brian + securities-attorney sign-off before sending; send only to existing/already-introduced investors. Scott chose to omit cash-position and amount-committed lines.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Shopify Privacy Policy still shows the old Scottsdale address / wrong subdomain. Quick fix.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2026-07-29T00:08:47Z</dcterms:created>
  <dcterms:modified xsi:type="dcterms:W3CDTF">2026-07-29T00:08:47Z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