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3"/>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4"/>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5"/>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6"/>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7"/>
        </w:numPr>
      </w:pPr>
      <w:r>
        <w:rPr>
          <w:b/>
          <w:bCs/>
        </w:rPr>
        <w:t xml:space="preserve">Four GHL workflows created and left in Draft</w:t>
      </w:r>
      <w:r>
        <w:t xml:space="preserve">, each with a mapping reference captured from a sample payload: WF-32, WF-32T, WF-33, WF-33T.</w:t>
      </w:r>
    </w:p>
    <w:p>
      <w:pPr>
        <w:pStyle w:val="Compact"/>
        <w:numPr>
          <w:ilvl w:val="0"/>
          <w:numId w:val="1058"/>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59"/>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59"/>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59"/>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59"/>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0"/>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1"/>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2"/>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3"/>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4"/>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5"/>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6"/>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7"/>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68"/>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69"/>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0"/>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1"/>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2"/>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2"/>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2"/>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2"/>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2"/>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2"/>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3"/>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3"/>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3"/>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3"/>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3"/>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3"/>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3"/>
        </w:numPr>
      </w:pPr>
      <w:r>
        <w:t xml:space="preserve">☒</w:t>
      </w:r>
      <w:r>
        <w:t xml:space="preserve"> </w:t>
      </w:r>
      <w:r>
        <w:rPr>
          <w:b/>
          <w:bCs/>
        </w:rPr>
        <w:t xml:space="preserve">Spam contacts and their Opportunities deleted.</w:t>
      </w:r>
    </w:p>
    <w:p>
      <w:pPr>
        <w:pStyle w:val="Compact"/>
        <w:numPr>
          <w:ilvl w:val="0"/>
          <w:numId w:val="1073"/>
        </w:numPr>
      </w:pPr>
      <w:r>
        <w:t xml:space="preserve">☒</w:t>
      </w:r>
      <w:r>
        <w:t xml:space="preserve"> </w:t>
      </w:r>
      <w:r>
        <w:rPr>
          <w:b/>
          <w:bCs/>
        </w:rPr>
        <w:t xml:space="preserve">WF-35 call branch BUILT and verified (Aug 7).</w:t>
      </w:r>
      <w:r>
        <w:t xml:space="preserve"> </w:t>
      </w:r>
      <w:r>
        <w:t xml:space="preserve">A third branch,</w:t>
      </w:r>
      <w:r>
        <w:t xml:space="preserve"> </w:t>
      </w:r>
      <w:r>
        <w:rPr>
          <w:rStyle w:val="VerbatimChar"/>
        </w:rPr>
        <w:t xml:space="preserve">Call or Voicemail</w:t>
      </w:r>
      <w:r>
        <w:t xml:space="preserve">, conditioned on</w:t>
      </w:r>
      <w:r>
        <w:t xml:space="preserve"> </w:t>
      </w:r>
      <w:r>
        <w:rPr>
          <w:rStyle w:val="VerbatimChar"/>
        </w:rPr>
        <w:t xml:space="preserve">Replied message Is empty</w:t>
      </w:r>
      <w:r>
        <w:t xml:space="preserve"> </w:t>
      </w:r>
      <w:r>
        <w:t xml:space="preserve">and</w:t>
      </w:r>
      <w:r>
        <w:t xml:space="preserve"> </w:t>
      </w:r>
      <w:r>
        <w:rPr>
          <w:b/>
          <w:bCs/>
        </w:rPr>
        <w:t xml:space="preserve">ordered first</w:t>
      </w:r>
      <w:r>
        <w:t xml:space="preserve">, sends a call-specific notification naming the number. Ordering is the design: GHL takes the first matching branch, so placing it second would let a call from a contact who has an owner fall through and render</w:t>
      </w:r>
      <w:r>
        <w:t xml:space="preserve"> </w:t>
      </w:r>
      <w:r>
        <w:rPr>
          <w:rStyle w:val="VerbatimChar"/>
        </w:rPr>
        <w:t xml:space="preserve">undefined</w:t>
      </w:r>
      <w:r>
        <w:t xml:space="preserve"> </w:t>
      </w:r>
      <w:r>
        <w:t xml:space="preserve">again, rarely enough to be hard to spot.</w:t>
      </w:r>
    </w:p>
    <w:p>
      <w:pPr>
        <w:pStyle w:val="Compact"/>
        <w:numPr>
          <w:ilvl w:val="1"/>
          <w:numId w:val="1074"/>
        </w:numPr>
      </w:pPr>
      <w:r>
        <w:rPr>
          <w:b/>
          <w:bCs/>
        </w:rPr>
        <w:t xml:space="preserve">Verified end to end</w:t>
      </w:r>
      <w:r>
        <w:t xml:space="preserve"> </w:t>
      </w:r>
      <w:r>
        <w:t xml:space="preserve">by calling 888-316-1695 from Scott’s mobile and letting it reach voicemail. The phone rang showing 888-316-1695, and the notification arrived as</w:t>
      </w:r>
      <w:r>
        <w:t xml:space="preserve"> </w:t>
      </w:r>
      <w:r>
        <w:rPr>
          <w:rStyle w:val="VerbatimChar"/>
        </w:rPr>
        <w:t xml:space="preserve">Inbound call:</w:t>
      </w:r>
      <w:r>
        <w:t xml:space="preserve"> </w:t>
      </w:r>
      <w:r>
        <w:t xml:space="preserve">with the number populated,</w:t>
      </w:r>
      <w:r>
        <w:t xml:space="preserve"> </w:t>
      </w:r>
      <w:r>
        <w:rPr>
          <w:b/>
          <w:bCs/>
        </w:rPr>
        <w:t xml:space="preserve">confirming both the branch order and the caller-ID fix in a single test.</w:t>
      </w:r>
    </w:p>
    <w:p>
      <w:pPr>
        <w:pStyle w:val="Compact"/>
        <w:numPr>
          <w:ilvl w:val="1"/>
          <w:numId w:val="1074"/>
        </w:numPr>
      </w:pPr>
      <w:r>
        <w:rPr>
          <w:b/>
          <w:bCs/>
        </w:rPr>
        <w:t xml:space="preserve">The call channel was deliberately not filtered out</w:t>
      </w:r>
      <w:r>
        <w:t xml:space="preserve">, which was the obvious fix and the wrong one. Those useless</w:t>
      </w:r>
      <w:r>
        <w:t xml:space="preserve"> </w:t>
      </w:r>
      <w:r>
        <w:rPr>
          <w:rStyle w:val="VerbatimChar"/>
        </w:rPr>
        <w:t xml:space="preserve">undefined</w:t>
      </w:r>
      <w:r>
        <w:t xml:space="preserve"> </w:t>
      </w:r>
      <w:r>
        <w:t xml:space="preserve">notifications were the only thing that surfaced the silenced business line. Filtering would have restored the silence that had to be found by accident.</w:t>
      </w:r>
    </w:p>
    <w:p>
      <w:pPr>
        <w:pStyle w:val="Compact"/>
        <w:numPr>
          <w:ilvl w:val="0"/>
          <w:numId w:val="1073"/>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17"/>
    <w:bookmarkStart w:id="1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5"/>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5"/>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5"/>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5"/>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5"/>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5"/>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5"/>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8"/>
    <w:bookmarkStart w:id="19" w:name="X787c6ae49ec488fed45086d4c0a203c1e5c3e7f"/>
    <w:p>
      <w:pPr>
        <w:pStyle w:val="Heading2"/>
      </w:pPr>
      <w:r>
        <w:t xml:space="preserve">5. Strategic architecture decisions (mostly ratify, not build)</w:t>
      </w:r>
    </w:p>
    <w:p>
      <w:pPr>
        <w:pStyle w:val="Compact"/>
        <w:numPr>
          <w:ilvl w:val="0"/>
          <w:numId w:val="1076"/>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7"/>
        </w:numPr>
      </w:pPr>
      <w:r>
        <w:rPr>
          <w:b/>
          <w:bCs/>
        </w:rPr>
        <w:t xml:space="preserve">System-of-record ownership map:</w:t>
      </w:r>
      <w:r>
        <w:t xml:space="preserve"> </w:t>
      </w:r>
      <w:r>
        <w:t xml:space="preserve">ratify the documented SoR (decision/doc task).</w:t>
      </w:r>
    </w:p>
    <w:p>
      <w:pPr>
        <w:pStyle w:val="Compact"/>
        <w:numPr>
          <w:ilvl w:val="0"/>
          <w:numId w:val="1078"/>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79"/>
        </w:numPr>
      </w:pPr>
      <w:r>
        <w:rPr>
          <w:b/>
          <w:bCs/>
        </w:rPr>
        <w:t xml:space="preserve">OEM / Lumanova data boundary:</w:t>
      </w:r>
      <w:r>
        <w:t xml:space="preserve"> </w:t>
      </w:r>
      <w:r>
        <w:t xml:space="preserve">formalize an auditable path as the partner program grows.</w:t>
      </w:r>
    </w:p>
    <w:p>
      <w:pPr>
        <w:pStyle w:val="Compact"/>
        <w:numPr>
          <w:ilvl w:val="0"/>
          <w:numId w:val="1080"/>
        </w:numPr>
      </w:pPr>
      <w:r>
        <w:rPr>
          <w:b/>
          <w:bCs/>
        </w:rPr>
        <w:t xml:space="preserve">Metric governance owner:</w:t>
      </w:r>
      <w:r>
        <w:t xml:space="preserve"> </w:t>
      </w:r>
      <w:r>
        <w:t xml:space="preserve">figures reconciled; assign a single owner.</w:t>
      </w:r>
    </w:p>
    <w:p>
      <w:pPr>
        <w:pStyle w:val="Compact"/>
        <w:numPr>
          <w:ilvl w:val="0"/>
          <w:numId w:val="1081"/>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2"/>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9"/>
    <w:bookmarkStart w:id="20" w:name="future-optional"/>
    <w:p>
      <w:pPr>
        <w:pStyle w:val="Heading2"/>
      </w:pPr>
      <w:r>
        <w:t xml:space="preserve">6. Future / optional</w:t>
      </w:r>
    </w:p>
    <w:p>
      <w:pPr>
        <w:pStyle w:val="Compact"/>
        <w:numPr>
          <w:ilvl w:val="0"/>
          <w:numId w:val="1083"/>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4"/>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5"/>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6"/>
        </w:numPr>
      </w:pPr>
      <w:r>
        <w:rPr>
          <w:b/>
          <w:bCs/>
        </w:rPr>
        <w:t xml:space="preserve">Paid acquisition</w:t>
      </w:r>
      <w:r>
        <w:t xml:space="preserve"> </w:t>
      </w:r>
      <w:r>
        <w:t xml:space="preserve">(Meta/Google): after domain warmup finishes.</w:t>
      </w:r>
    </w:p>
    <w:p>
      <w:pPr>
        <w:pStyle w:val="Compact"/>
        <w:numPr>
          <w:ilvl w:val="0"/>
          <w:numId w:val="1087"/>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88"/>
        </w:numPr>
      </w:pPr>
      <w:r>
        <w:rPr>
          <w:b/>
          <w:bCs/>
        </w:rPr>
        <w:t xml:space="preserve">Form embeds:</w:t>
      </w:r>
      <w:r>
        <w:t xml:space="preserve"> </w:t>
      </w:r>
      <w:r>
        <w:t xml:space="preserve">Commercial Inquiry + Partner Application forms onto go.enyrgy.com (developer).</w:t>
      </w:r>
    </w:p>
    <w:p>
      <w:pPr>
        <w:pStyle w:val="Compact"/>
        <w:numPr>
          <w:ilvl w:val="0"/>
          <w:numId w:val="1089"/>
        </w:numPr>
      </w:pPr>
      <w:r>
        <w:rPr>
          <w:b/>
          <w:bCs/>
        </w:rPr>
        <w:t xml:space="preserve">Upgrade the abandoned-checkout Railway service off trial</w:t>
      </w:r>
      <w:r>
        <w:t xml:space="preserve"> </w:t>
      </w:r>
      <w:r>
        <w:t xml:space="preserve">(may already be on Hobby; confirm).</w:t>
      </w:r>
    </w:p>
    <w:bookmarkEnd w:id="20"/>
    <w:bookmarkStart w:id="21" w:name="X99a4122416d3be25b3ec730ee1c5d273b04fea6"/>
    <w:p>
      <w:pPr>
        <w:pStyle w:val="Heading2"/>
      </w:pPr>
      <w:r>
        <w:t xml:space="preserve">6b. Content backup gap: CLOSED August 3, 2026</w:t>
      </w:r>
    </w:p>
    <w:p>
      <w:pPr>
        <w:pStyle w:val="Compact"/>
        <w:numPr>
          <w:ilvl w:val="0"/>
          <w:numId w:val="1090"/>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1"/>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2"/>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2"/>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2"/>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2"/>
        </w:numPr>
      </w:pPr>
      <w:r>
        <w:rPr>
          <w:b/>
          <w:bCs/>
        </w:rPr>
        <w:t xml:space="preserve">Secondary benefit:</w:t>
      </w:r>
      <w:r>
        <w:t xml:space="preserve"> </w:t>
      </w:r>
      <w:r>
        <w:t xml:space="preserve">makes the copy greppable, so subject lines and claims can be located and audited without clicking through GHL.</w:t>
      </w:r>
    </w:p>
    <w:bookmarkEnd w:id="21"/>
    <w:bookmarkStart w:id="22" w:name="documentation-hygiene"/>
    <w:p>
      <w:pPr>
        <w:pStyle w:val="Heading2"/>
      </w:pPr>
      <w:r>
        <w:t xml:space="preserve">7. Documentation hygiene</w:t>
      </w:r>
    </w:p>
    <w:p>
      <w:pPr>
        <w:numPr>
          <w:ilvl w:val="0"/>
          <w:numId w:val="1093"/>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4"/>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5"/>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6"/>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097"/>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098"/>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099"/>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0"/>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1"/>
        </w:numPr>
      </w:pPr>
      <w:r>
        <w:rPr>
          <w:b/>
          <w:bCs/>
        </w:rPr>
        <w:t xml:space="preserve">Campaign copy backed up:</w:t>
      </w:r>
      <w:r>
        <w:t xml:space="preserve"> </w:t>
      </w:r>
      <w:r>
        <w:t xml:space="preserve">see 6b. Standing Rule 9 added to the handoff, save the artifact and not a description of it.</w:t>
      </w:r>
    </w:p>
    <w:bookmarkEnd w:id="22"/>
    <w:bookmarkStart w:id="23" w:name="X4ef6576507d0fd69ab3954b626c150ac8397a60"/>
    <w:p>
      <w:pPr>
        <w:pStyle w:val="Heading2"/>
      </w:pPr>
      <w:r>
        <w:t xml:space="preserve">8. Standing operating discipline (adopted Session 15)</w:t>
      </w:r>
    </w:p>
    <w:p>
      <w:pPr>
        <w:pStyle w:val="Compact"/>
        <w:numPr>
          <w:ilvl w:val="0"/>
          <w:numId w:val="1102"/>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3"/>
        </w:numPr>
      </w:pPr>
      <w:r>
        <w:rPr>
          <w:b/>
          <w:bCs/>
        </w:rPr>
        <w:t xml:space="preserve">Keep credit buffered and watch the Costs page.</w:t>
      </w:r>
      <w:r>
        <w:t xml:space="preserve"> </w:t>
      </w:r>
      <w:r>
        <w:t xml:space="preserve">Starvation is more expensive than headroom, not cheaper.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2"/>
  </w:num>
  <w:num w:numId="1053">
    <w:abstractNumId w:val="992"/>
  </w:num>
  <w:num w:numId="1054">
    <w:abstractNumId w:val="992"/>
  </w:num>
  <w:num w:numId="1055">
    <w:abstractNumId w:val="992"/>
  </w:num>
  <w:num w:numId="1056">
    <w:abstractNumId w:val="993"/>
  </w:num>
  <w:num w:numId="1057">
    <w:abstractNumId w:val="993"/>
  </w:num>
  <w:num w:numId="1058">
    <w:abstractNumId w:val="993"/>
  </w:num>
  <w:num w:numId="1059">
    <w:abstractNumId w:val="991"/>
  </w:num>
  <w:num w:numId="1060">
    <w:abstractNumId w:val="992"/>
  </w:num>
  <w:num w:numId="1061">
    <w:abstractNumId w:val="992"/>
  </w:num>
  <w:num w:numId="1062">
    <w:abstractNumId w:val="992"/>
  </w:num>
  <w:num w:numId="1063">
    <w:abstractNumId w:val="992"/>
  </w:num>
  <w:num w:numId="1064">
    <w:abstractNumId w:val="992"/>
  </w:num>
  <w:num w:numId="1065">
    <w:abstractNumId w:val="993"/>
  </w:num>
  <w:num w:numId="1066">
    <w:abstractNumId w:val="993"/>
  </w:num>
  <w:num w:numId="1067">
    <w:abstractNumId w:val="993"/>
  </w:num>
  <w:num w:numId="1068">
    <w:abstractNumId w:val="993"/>
  </w:num>
  <w:num w:numId="1069">
    <w:abstractNumId w:val="993"/>
  </w:num>
  <w:num w:numId="1070">
    <w:abstractNumId w:val="992"/>
  </w:num>
  <w:num w:numId="1071">
    <w:abstractNumId w:val="993"/>
  </w:num>
  <w:num w:numId="1072">
    <w:abstractNumId w:val="991"/>
  </w:num>
  <w:num w:numId="1073">
    <w:abstractNumId w:val="991"/>
  </w:num>
  <w:num w:numId="1074">
    <w:abstractNumId w:val="991"/>
  </w:num>
  <w:num w:numId="1075">
    <w:abstractNumId w:val="991"/>
  </w:num>
  <w:num w:numId="1076">
    <w:abstractNumId w:val="992"/>
  </w:num>
  <w:num w:numId="1077">
    <w:abstractNumId w:val="992"/>
  </w:num>
  <w:num w:numId="1078">
    <w:abstractNumId w:val="992"/>
  </w:num>
  <w:num w:numId="1079">
    <w:abstractNumId w:val="992"/>
  </w:num>
  <w:num w:numId="1080">
    <w:abstractNumId w:val="992"/>
  </w:num>
  <w:num w:numId="1081">
    <w:abstractNumId w:val="993"/>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3"/>
  </w:num>
  <w:num w:numId="1091">
    <w:abstractNumId w:val="993"/>
  </w:num>
  <w:num w:numId="1092">
    <w:abstractNumId w:val="991"/>
  </w:num>
  <w:num w:numId="1093">
    <w:abstractNumId w:val="993"/>
  </w:num>
  <w:num w:numId="1094">
    <w:abstractNumId w:val="993"/>
  </w:num>
  <w:num w:numId="1095">
    <w:abstractNumId w:val="992"/>
  </w:num>
  <w:num w:numId="1096">
    <w:abstractNumId w:val="993"/>
  </w:num>
  <w:num w:numId="1097">
    <w:abstractNumId w:val="993"/>
  </w:num>
  <w:num w:numId="1098">
    <w:abstractNumId w:val="993"/>
  </w:num>
  <w:num w:numId="1099">
    <w:abstractNumId w:val="993"/>
  </w:num>
  <w:num w:numId="1100">
    <w:abstractNumId w:val="993"/>
  </w:num>
  <w:num w:numId="1101">
    <w:abstractNumId w:val="993"/>
  </w:num>
  <w:num w:numId="1102">
    <w:abstractNumId w:val="992"/>
  </w:num>
  <w:num w:numId="11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2026-08-07T16:54:33Z</dcterms:created>
  <dcterms:modified xsi:type="dcterms:W3CDTF">2026-08-07T16:54:33Z</dcterms:modified>
</cp:coreProperties>
</file>

<file path=docProps/custom.xml><?xml version="1.0" encoding="utf-8"?>
<Properties xmlns="http://schemas.openxmlformats.org/officeDocument/2006/custom-properties" xmlns:vt="http://schemas.openxmlformats.org/officeDocument/2006/docPropsVTypes"/>
</file>