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6462CC" w14:textId="77777777" w:rsidR="00833B00" w:rsidRDefault="00000000">
      <w:pPr>
        <w:pStyle w:val="Heading1"/>
      </w:pPr>
      <w:bookmarkStart w:id="0" w:name="enyrgy-q2-2026-investor-update"/>
      <w:r>
        <w:t>Enyrgy Q2 2026 Investor Update</w:t>
      </w:r>
    </w:p>
    <w:p w14:paraId="6A2EFB15" w14:textId="77777777" w:rsidR="00833B00" w:rsidRDefault="00000000">
      <w:r>
        <w:rPr>
          <w:b/>
          <w:bCs/>
        </w:rPr>
        <w:t>Traction, Financials, Team, and the Raise</w:t>
      </w:r>
    </w:p>
    <w:p w14:paraId="27633FB4" w14:textId="5B54671D" w:rsidR="00833B00" w:rsidRDefault="002C036C">
      <w:r>
        <w:t xml:space="preserve"> </w:t>
      </w:r>
    </w:p>
    <w:p w14:paraId="258FA586" w14:textId="77777777" w:rsidR="00833B00" w:rsidRDefault="00000000">
      <w:r>
        <w:t>A quick update on where Enyrgy stands and what we built this quarter.</w:t>
      </w:r>
    </w:p>
    <w:p w14:paraId="12CDC3F3" w14:textId="77777777" w:rsidR="00833B00" w:rsidRDefault="00000000">
      <w:r>
        <w:rPr>
          <w:b/>
          <w:bCs/>
        </w:rPr>
        <w:t>The short version.</w:t>
      </w:r>
      <w:r>
        <w:t xml:space="preserve"> Demand is still entirely organic, the safety record is unbroken, and we spent the quarter turning a founder-run sales motion into a largely automated operating platform, and adding the commercial team to run it. Our reported net loss for the quarter is almost entirely non-recurring cost tied to raising this round and renewing our insurance program; underlying operations were slightly positive.</w:t>
      </w:r>
    </w:p>
    <w:p w14:paraId="76A17A3C" w14:textId="77777777" w:rsidR="002C036C" w:rsidRDefault="002C036C">
      <w:pPr>
        <w:pStyle w:val="Heading2"/>
      </w:pPr>
      <w:bookmarkStart w:id="1" w:name="traction-to-date"/>
    </w:p>
    <w:p w14:paraId="7AE2F294" w14:textId="5837FAE8" w:rsidR="00833B00" w:rsidRDefault="00000000">
      <w:pPr>
        <w:pStyle w:val="Heading2"/>
      </w:pPr>
      <w:r>
        <w:t>Traction to date</w:t>
      </w:r>
    </w:p>
    <w:p w14:paraId="6F810588" w14:textId="77777777" w:rsidR="00833B00" w:rsidRDefault="00000000">
      <w:pPr>
        <w:numPr>
          <w:ilvl w:val="0"/>
          <w:numId w:val="3"/>
        </w:numPr>
      </w:pPr>
      <w:r>
        <w:t>600+ customers across 5 countries (USA, UK, Canada, France, New Zealand), on zero paid advertising.</w:t>
      </w:r>
    </w:p>
    <w:p w14:paraId="43BE36A8" w14:textId="77777777" w:rsidR="00833B00" w:rsidRDefault="00000000">
      <w:pPr>
        <w:numPr>
          <w:ilvl w:val="0"/>
          <w:numId w:val="3"/>
        </w:numPr>
      </w:pPr>
      <w:r>
        <w:t>25,000+ treatments completed with zero burns and zero adverse events.</w:t>
      </w:r>
    </w:p>
    <w:p w14:paraId="7343956F" w14:textId="77777777" w:rsidR="00833B00" w:rsidRDefault="00000000">
      <w:pPr>
        <w:numPr>
          <w:ilvl w:val="0"/>
          <w:numId w:val="3"/>
        </w:numPr>
      </w:pPr>
      <w:r>
        <w:t>Return rate under 1 percent, against an industry norm of 5 to 10 percent.</w:t>
      </w:r>
    </w:p>
    <w:p w14:paraId="02C8AB54" w14:textId="77777777" w:rsidR="00833B00" w:rsidRDefault="00000000">
      <w:pPr>
        <w:numPr>
          <w:ilvl w:val="0"/>
          <w:numId w:val="3"/>
        </w:numPr>
      </w:pPr>
      <w:r>
        <w:t>90 percent of our customers also run red light therapy, so we sit alongside existing routines rather than competing with them.</w:t>
      </w:r>
    </w:p>
    <w:p w14:paraId="139F4F88" w14:textId="77777777" w:rsidR="002C036C" w:rsidRDefault="002C036C">
      <w:pPr>
        <w:pStyle w:val="Heading2"/>
      </w:pPr>
      <w:bookmarkStart w:id="2" w:name="financials-q2-2026"/>
      <w:bookmarkEnd w:id="1"/>
    </w:p>
    <w:p w14:paraId="67616D7C" w14:textId="2BDB357A" w:rsidR="00833B00" w:rsidRDefault="00000000">
      <w:pPr>
        <w:pStyle w:val="Heading2"/>
      </w:pPr>
      <w:r>
        <w:t>Financials (Q2 2026)</w:t>
      </w:r>
    </w:p>
    <w:p w14:paraId="1FB22231" w14:textId="77777777" w:rsidR="00833B00" w:rsidRDefault="00000000">
      <w:pPr>
        <w:numPr>
          <w:ilvl w:val="0"/>
          <w:numId w:val="4"/>
        </w:numPr>
      </w:pPr>
      <w:r>
        <w:t>Revenue: $34,866.86</w:t>
      </w:r>
    </w:p>
    <w:p w14:paraId="0FD66AC0" w14:textId="77777777" w:rsidR="00833B00" w:rsidRDefault="00000000">
      <w:pPr>
        <w:numPr>
          <w:ilvl w:val="0"/>
          <w:numId w:val="4"/>
        </w:numPr>
      </w:pPr>
      <w:r>
        <w:t>Gross profit: $30,834.68 (gross margins held strong)</w:t>
      </w:r>
    </w:p>
    <w:p w14:paraId="2FC9FD06" w14:textId="77777777" w:rsidR="00833B00" w:rsidRDefault="00000000">
      <w:pPr>
        <w:numPr>
          <w:ilvl w:val="0"/>
          <w:numId w:val="4"/>
        </w:numPr>
      </w:pPr>
      <w:r>
        <w:t>Operating expenses: $55,822.26</w:t>
      </w:r>
    </w:p>
    <w:p w14:paraId="72FCAEA3" w14:textId="77777777" w:rsidR="00833B00" w:rsidRDefault="00000000">
      <w:pPr>
        <w:numPr>
          <w:ilvl w:val="0"/>
          <w:numId w:val="4"/>
        </w:numPr>
      </w:pPr>
      <w:r>
        <w:t>Net loss: $24,987.58</w:t>
      </w:r>
    </w:p>
    <w:p w14:paraId="4F5D577E" w14:textId="77777777" w:rsidR="002C036C" w:rsidRDefault="002C036C"/>
    <w:p w14:paraId="62C48CC9" w14:textId="04731E48" w:rsidR="00833B00" w:rsidRDefault="00000000">
      <w:r>
        <w:t>Context on the loss: $33,464.79 of this quarter’s operating expenses were non-recurring. That breaks down as $26,897.97 in costs directly tied to raising this round, and $6,566.82 for the annual renewal of our insurance program (D&amp;O, general liability, product liability, and cyber). Excluding those two items, the quarter’s recurring operating expense was $22,357.47, and operations ran at roughly $8,477 of positive operating income.</w:t>
      </w:r>
    </w:p>
    <w:p w14:paraId="56B54DB6" w14:textId="77777777" w:rsidR="002C036C" w:rsidRDefault="002C036C">
      <w:pPr>
        <w:pStyle w:val="Heading2"/>
      </w:pPr>
      <w:bookmarkStart w:id="3" w:name="product"/>
      <w:bookmarkEnd w:id="2"/>
    </w:p>
    <w:p w14:paraId="2959F8AD" w14:textId="61BACF73" w:rsidR="00833B00" w:rsidRDefault="00000000">
      <w:pPr>
        <w:pStyle w:val="Heading2"/>
      </w:pPr>
      <w:r>
        <w:t>Product</w:t>
      </w:r>
    </w:p>
    <w:p w14:paraId="7BA5CFC6" w14:textId="77777777" w:rsidR="00833B00" w:rsidRDefault="00000000">
      <w:r>
        <w:t>The Enyrgy Vitamin D Primal Light Platform activates three biological pathways in 2 to 4 minutes: vitamin D synthesis (2.4x more efficient than sunlight), nitric oxide release, and serotonin production. The app reads each user’s skin type, sets a personal dose, and ends the session automatically. It is a wellness device and makes no medical claims. Built in Phoenix, Arizona, Made in USA.</w:t>
      </w:r>
    </w:p>
    <w:p w14:paraId="50055EC8" w14:textId="77777777" w:rsidR="002C036C" w:rsidRDefault="002C036C">
      <w:pPr>
        <w:pStyle w:val="Heading2"/>
      </w:pPr>
      <w:bookmarkStart w:id="4" w:name="clinical-and-credibility"/>
      <w:bookmarkEnd w:id="3"/>
    </w:p>
    <w:p w14:paraId="2320D159" w14:textId="4AF26479" w:rsidR="00833B00" w:rsidRDefault="00000000">
      <w:pPr>
        <w:pStyle w:val="Heading2"/>
      </w:pPr>
      <w:r>
        <w:t>Clinical and credibility</w:t>
      </w:r>
    </w:p>
    <w:p w14:paraId="3D0C04E5" w14:textId="77777777" w:rsidR="00833B00" w:rsidRDefault="00000000">
      <w:r>
        <w:t>In a 12-week study, participants raised their average vitamin D from 39.96 to 84.20 ng/mL (a 111 percent increase), and 100 percent reached optimal levels. This was a small uncontrolled pilot (N = 5 healthy adults, no control group); larger trials are in development, and we cite it as a pilot, not a definitive result. Our Scientific Advisory Board includes Dr. Bruce Hollis (widely regarded as the Godfather of Vitamin D Research, 70,000+ citations), Dr. Samantha Kimball (designer of the dosing protocol behind every session), and Dr. William Grant (NASA UVB researcher).</w:t>
      </w:r>
    </w:p>
    <w:p w14:paraId="42208A2E" w14:textId="77777777" w:rsidR="002C036C" w:rsidRDefault="002C036C">
      <w:pPr>
        <w:pStyle w:val="Heading2"/>
      </w:pPr>
      <w:bookmarkStart w:id="5" w:name="commercial-and-partnerships"/>
      <w:bookmarkEnd w:id="4"/>
    </w:p>
    <w:p w14:paraId="44F0A9EA" w14:textId="77777777" w:rsidR="002C036C" w:rsidRDefault="002C036C">
      <w:pPr>
        <w:pStyle w:val="Heading2"/>
      </w:pPr>
    </w:p>
    <w:p w14:paraId="11249C90" w14:textId="7561D336" w:rsidR="00833B00" w:rsidRDefault="00000000">
      <w:pPr>
        <w:pStyle w:val="Heading2"/>
      </w:pPr>
      <w:r>
        <w:lastRenderedPageBreak/>
        <w:t>Commercial and partnerships</w:t>
      </w:r>
    </w:p>
    <w:p w14:paraId="4496EBD9" w14:textId="77777777" w:rsidR="00833B00" w:rsidRDefault="00000000">
      <w:pPr>
        <w:numPr>
          <w:ilvl w:val="0"/>
          <w:numId w:val="5"/>
        </w:numPr>
      </w:pPr>
      <w:r>
        <w:t>Direct-to-consumer remains our primary channel: $2,995 unit, 66 percent gross margin.</w:t>
      </w:r>
    </w:p>
    <w:p w14:paraId="6CE2ABC3" w14:textId="77777777" w:rsidR="00833B00" w:rsidRDefault="00000000">
      <w:pPr>
        <w:numPr>
          <w:ilvl w:val="0"/>
          <w:numId w:val="5"/>
        </w:numPr>
      </w:pPr>
      <w:r>
        <w:t>On the commercial side, the market is moving away from per-modality add-on pricing toward membership models. Enyrgy fits that shift well. Operators are positioning it two ways: as a draw to bring in new members, and as an incentive to upgrade existing members into higher tiers. The commercial unit carries a 78 percent gross margin.</w:t>
      </w:r>
    </w:p>
    <w:p w14:paraId="4EE44011" w14:textId="77777777" w:rsidR="00833B00" w:rsidRDefault="00000000">
      <w:pPr>
        <w:numPr>
          <w:ilvl w:val="0"/>
          <w:numId w:val="5"/>
        </w:numPr>
      </w:pPr>
      <w:r>
        <w:t>Our OEM partner Lumanova sells our technology under their own brand (Luma D Light) with Black Unit exclusivity. We are now also offering distribution arrangements for partners who want to place the platform into other facilities.</w:t>
      </w:r>
    </w:p>
    <w:p w14:paraId="7DAC0242" w14:textId="77777777" w:rsidR="002C036C" w:rsidRDefault="002C036C">
      <w:pPr>
        <w:pStyle w:val="Heading2"/>
      </w:pPr>
      <w:bookmarkStart w:id="6" w:name="team"/>
      <w:bookmarkEnd w:id="5"/>
    </w:p>
    <w:p w14:paraId="257A9921" w14:textId="27BBD42C" w:rsidR="00833B00" w:rsidRDefault="00000000">
      <w:pPr>
        <w:pStyle w:val="Heading2"/>
      </w:pPr>
      <w:r>
        <w:t>Team</w:t>
      </w:r>
      <w:r w:rsidR="002C036C">
        <w:t xml:space="preserve"> – New Members</w:t>
      </w:r>
    </w:p>
    <w:p w14:paraId="6B514F5E" w14:textId="77777777" w:rsidR="00833B00" w:rsidRDefault="00000000">
      <w:r>
        <w:t>We added the commercial and operating bench to match the infrastructure we built this quarter.</w:t>
      </w:r>
    </w:p>
    <w:p w14:paraId="295EB4D2" w14:textId="77777777" w:rsidR="00833B00" w:rsidRDefault="00000000">
      <w:pPr>
        <w:numPr>
          <w:ilvl w:val="0"/>
          <w:numId w:val="6"/>
        </w:numPr>
      </w:pPr>
      <w:r>
        <w:rPr>
          <w:b/>
          <w:bCs/>
        </w:rPr>
        <w:t>Brian Cameron, CFO and commercial principal.</w:t>
      </w:r>
      <w:r>
        <w:t xml:space="preserve"> Brian owns finance and investor materials, and he also sources and closes commercial and media relationships directly, including a recent media partnership with YourTango. That keeps our finance leader inside the revenue motion rather than beside it.</w:t>
      </w:r>
    </w:p>
    <w:p w14:paraId="314BB6E1" w14:textId="77777777" w:rsidR="00833B00" w:rsidRDefault="00000000">
      <w:pPr>
        <w:numPr>
          <w:ilvl w:val="0"/>
          <w:numId w:val="6"/>
        </w:numPr>
      </w:pPr>
      <w:r>
        <w:rPr>
          <w:b/>
          <w:bCs/>
        </w:rPr>
        <w:t>Millie Carrillo, senior commercial lead.</w:t>
      </w:r>
      <w:r>
        <w:t xml:space="preserve"> Millie joins from Electrolit (owned by Grupo PiSA, one of the largest pharmaceutical companies in Latin America), where she helped lead the brand’s U.S. expansion and brought it into Kroger. She brings national-retail scaling experience to our commercial channel.</w:t>
      </w:r>
    </w:p>
    <w:p w14:paraId="40B3A05E" w14:textId="77777777" w:rsidR="00833B00" w:rsidRDefault="00000000">
      <w:pPr>
        <w:numPr>
          <w:ilvl w:val="0"/>
          <w:numId w:val="6"/>
        </w:numPr>
      </w:pPr>
      <w:r>
        <w:rPr>
          <w:b/>
          <w:bCs/>
        </w:rPr>
        <w:t>Shanna Schuckman, club and country-club channel.</w:t>
      </w:r>
      <w:r>
        <w:t xml:space="preserve"> A former college golfer who has worked inside clubs, Shanna brings native credibility to the club and country-club segment, a natural fit for the membership model above.</w:t>
      </w:r>
    </w:p>
    <w:p w14:paraId="461C0CB1" w14:textId="77777777" w:rsidR="00833B00" w:rsidRDefault="00000000">
      <w:pPr>
        <w:numPr>
          <w:ilvl w:val="0"/>
          <w:numId w:val="6"/>
        </w:numPr>
      </w:pPr>
      <w:r>
        <w:rPr>
          <w:b/>
          <w:bCs/>
        </w:rPr>
        <w:t>Thea Cartier, social media manager.</w:t>
      </w:r>
      <w:r>
        <w:t xml:space="preserve"> Thea owns organic social content and channel management, extending the zero-paid-ads engine that has driven our growth to date.</w:t>
      </w:r>
    </w:p>
    <w:p w14:paraId="7F9BDE44" w14:textId="77777777" w:rsidR="002C036C" w:rsidRDefault="002C036C">
      <w:pPr>
        <w:pStyle w:val="Heading2"/>
      </w:pPr>
      <w:bookmarkStart w:id="7" w:name="the-operating-platform-we-built"/>
      <w:bookmarkEnd w:id="6"/>
    </w:p>
    <w:p w14:paraId="3D1FB446" w14:textId="4ADF9D21" w:rsidR="00833B00" w:rsidRDefault="00000000">
      <w:pPr>
        <w:pStyle w:val="Heading2"/>
      </w:pPr>
      <w:r>
        <w:t>The operating platform we built</w:t>
      </w:r>
    </w:p>
    <w:p w14:paraId="0453B055" w14:textId="77777777" w:rsidR="00833B00" w:rsidRDefault="00000000">
      <w:r>
        <w:t>This quarter we moved from ad hoc tools to a documented system built to scale.</w:t>
      </w:r>
    </w:p>
    <w:p w14:paraId="19A06A9F" w14:textId="77777777" w:rsidR="00833B00" w:rsidRDefault="00000000">
      <w:pPr>
        <w:numPr>
          <w:ilvl w:val="0"/>
          <w:numId w:val="7"/>
        </w:numPr>
      </w:pPr>
      <w:r>
        <w:rPr>
          <w:b/>
          <w:bCs/>
        </w:rPr>
        <w:t>Enterprise Architecture v1.0</w:t>
      </w:r>
      <w:r>
        <w:t>, the system of record for how Enyrgy runs, connects, and scales, organized in six layers (business, systems, data, integration, security and compliance, and infrastructure). Regulatory gates for Reg D, A2P messaging, and FDA wellness guardrails are built into the system rather than left to manual review.</w:t>
      </w:r>
    </w:p>
    <w:p w14:paraId="3A272303" w14:textId="77777777" w:rsidR="00833B00" w:rsidRDefault="00000000">
      <w:pPr>
        <w:numPr>
          <w:ilvl w:val="0"/>
          <w:numId w:val="7"/>
        </w:numPr>
      </w:pPr>
      <w:r>
        <w:rPr>
          <w:b/>
          <w:bCs/>
        </w:rPr>
        <w:t>29 automated workflows</w:t>
      </w:r>
      <w:r>
        <w:t xml:space="preserve"> now span the full lifecycle across consumer, commercial, investor, vendor, and partner journeys: onboarding, lead nurture, testimonials, referrals, abandoned-cart recovery, and the compliance-gated investor flow, so no inbound interest is dropped.</w:t>
      </w:r>
    </w:p>
    <w:p w14:paraId="0A770E59" w14:textId="77777777" w:rsidR="00833B00" w:rsidRDefault="00000000">
      <w:pPr>
        <w:numPr>
          <w:ilvl w:val="0"/>
          <w:numId w:val="7"/>
        </w:numPr>
      </w:pPr>
      <w:r>
        <w:rPr>
          <w:b/>
          <w:bCs/>
        </w:rPr>
        <w:t>An AI-assisted operations layer</w:t>
      </w:r>
      <w:r>
        <w:t>, a structured agent organization we are bringing online in stages, that handles routing, replies, and follow-up, with human approval required on anything customer-facing or investor-facing.</w:t>
      </w:r>
    </w:p>
    <w:p w14:paraId="146E2129" w14:textId="77777777" w:rsidR="00833B00" w:rsidRDefault="00000000">
      <w:pPr>
        <w:numPr>
          <w:ilvl w:val="0"/>
          <w:numId w:val="7"/>
        </w:numPr>
      </w:pPr>
      <w:r>
        <w:rPr>
          <w:b/>
          <w:bCs/>
        </w:rPr>
        <w:t>Consolidated manufacturing</w:t>
      </w:r>
      <w:r>
        <w:t xml:space="preserve"> at our Phoenix facility (Made in USA).</w:t>
      </w:r>
    </w:p>
    <w:p w14:paraId="4823498D" w14:textId="77777777" w:rsidR="002C036C" w:rsidRDefault="002C036C">
      <w:pPr>
        <w:pStyle w:val="Heading2"/>
      </w:pPr>
      <w:bookmarkStart w:id="8" w:name="the-raise"/>
      <w:bookmarkEnd w:id="7"/>
    </w:p>
    <w:p w14:paraId="28D85C45" w14:textId="77777777" w:rsidR="002C036C" w:rsidRDefault="002C036C">
      <w:pPr>
        <w:pStyle w:val="Heading2"/>
      </w:pPr>
    </w:p>
    <w:p w14:paraId="5551A469" w14:textId="77777777" w:rsidR="002C036C" w:rsidRDefault="002C036C">
      <w:pPr>
        <w:pStyle w:val="Heading2"/>
      </w:pPr>
    </w:p>
    <w:p w14:paraId="5FFAD78B" w14:textId="0F589B7C" w:rsidR="00833B00" w:rsidRDefault="00000000">
      <w:pPr>
        <w:pStyle w:val="Heading2"/>
      </w:pPr>
      <w:r>
        <w:lastRenderedPageBreak/>
        <w:t>The raise</w:t>
      </w:r>
    </w:p>
    <w:p w14:paraId="352BCB6F" w14:textId="46972D5C" w:rsidR="00833B00" w:rsidRDefault="00000000">
      <w:r>
        <w:t>We are raising $3.5M in the form of a private-credit promissory note: 12 percent per annum, 3-year term, $50,000 minimum, interest paid quarterly (postponed the first 3 months). At the investor’s discretion there is a conversion option at a 20 percent discount to an independent SEC valuation. Our exit target is a strategic acquisition in the $100 to 150M. Full terms are in the PPM, which we are glad to send after a brief call.</w:t>
      </w:r>
    </w:p>
    <w:p w14:paraId="6C28364A" w14:textId="77777777" w:rsidR="00833B00" w:rsidRDefault="00000000">
      <w:r>
        <w:t>If you would like to review the PPM or talk through the note, reply here or grab a time with me directly.</w:t>
      </w:r>
    </w:p>
    <w:p w14:paraId="05BBB2AD" w14:textId="77777777" w:rsidR="002C036C" w:rsidRDefault="002C036C"/>
    <w:p w14:paraId="5DB7B456" w14:textId="77777777" w:rsidR="00833B00" w:rsidRDefault="00000000">
      <w:r>
        <w:t>Carpe Diem,</w:t>
      </w:r>
    </w:p>
    <w:p w14:paraId="6B8E2008" w14:textId="2515A876" w:rsidR="00833B00" w:rsidRDefault="00000000">
      <w:r>
        <w:t xml:space="preserve">Scott Hansbury Co-founder &amp; CEO, scott@enyrgy.com | </w:t>
      </w:r>
      <w:r w:rsidR="002C036C">
        <w:t>602</w:t>
      </w:r>
      <w:r>
        <w:t>-3</w:t>
      </w:r>
      <w:r w:rsidR="002C036C">
        <w:t>21</w:t>
      </w:r>
      <w:r>
        <w:t>-</w:t>
      </w:r>
      <w:r w:rsidR="002C036C">
        <w:t>0322</w:t>
      </w:r>
    </w:p>
    <w:p w14:paraId="7490EE65" w14:textId="37465E08" w:rsidR="002C036C" w:rsidRDefault="002C036C">
      <w:r>
        <w:t xml:space="preserve">David Letourneau </w:t>
      </w:r>
      <w:r>
        <w:t xml:space="preserve">Co-founder &amp; </w:t>
      </w:r>
      <w:r>
        <w:t>President, david</w:t>
      </w:r>
      <w:r>
        <w:t>@enyrgy.com | 602-</w:t>
      </w:r>
      <w:r>
        <w:t>625</w:t>
      </w:r>
      <w:r>
        <w:t>-</w:t>
      </w:r>
      <w:r>
        <w:t>6607</w:t>
      </w:r>
    </w:p>
    <w:p w14:paraId="00EDF859" w14:textId="4E00B368" w:rsidR="002C036C" w:rsidRDefault="002C036C">
      <w:r>
        <w:t xml:space="preserve">Brian Cameron Fractional CFO, </w:t>
      </w:r>
      <w:hyperlink r:id="rId5" w:history="1">
        <w:r w:rsidRPr="0059175D">
          <w:rPr>
            <w:rStyle w:val="Hyperlink"/>
          </w:rPr>
          <w:t>bcameron@brian-cameron.com</w:t>
        </w:r>
      </w:hyperlink>
      <w:r>
        <w:t xml:space="preserve"> </w:t>
      </w:r>
      <w:r>
        <w:t>| 602-</w:t>
      </w:r>
      <w:r>
        <w:t>86</w:t>
      </w:r>
      <w:r>
        <w:t>5-</w:t>
      </w:r>
      <w:r>
        <w:t>9356</w:t>
      </w:r>
    </w:p>
    <w:p w14:paraId="466FB61C" w14:textId="77777777" w:rsidR="00833B00" w:rsidRDefault="00702ECA">
      <w:r>
        <w:rPr>
          <w:noProof/>
        </w:rPr>
      </w:r>
      <w:r>
        <w:pict w14:anchorId="5C079071">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AA3CE5" w14:textId="77777777" w:rsidR="00833B00" w:rsidRDefault="00000000">
      <w:r>
        <w:rPr>
          <w:i/>
          <w:iCs/>
        </w:rPr>
        <w:t>This update is for informational purposes only and is not an offer to sell or a solicitation of an offer to buy any security; any offering is made solely through the PPM to eligible investors. It contains forward-looking statements that involve risk and uncertainty; actual results may differ. Clinical figures reflect a small uncontrolled pilot (N = 5). Confidential, Enyrgy Inc.</w:t>
      </w:r>
      <w:bookmarkEnd w:id="0"/>
      <w:bookmarkEnd w:id="8"/>
    </w:p>
    <w:sectPr w:rsidR="00833B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pitch w:val="variable"/>
    <w:sig w:usb0="2000020F" w:usb1="00000003"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62A76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AC7D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25802E1"/>
    <w:multiLevelType w:val="hybridMultilevel"/>
    <w:tmpl w:val="66A2E0F6"/>
    <w:lvl w:ilvl="0" w:tplc="EB3CE19C">
      <w:start w:val="1"/>
      <w:numFmt w:val="bullet"/>
      <w:lvlText w:val="●"/>
      <w:lvlJc w:val="left"/>
      <w:pPr>
        <w:ind w:left="720" w:hanging="360"/>
      </w:pPr>
    </w:lvl>
    <w:lvl w:ilvl="1" w:tplc="A6F241F0">
      <w:start w:val="1"/>
      <w:numFmt w:val="bullet"/>
      <w:lvlText w:val="○"/>
      <w:lvlJc w:val="left"/>
      <w:pPr>
        <w:ind w:left="1440" w:hanging="360"/>
      </w:pPr>
    </w:lvl>
    <w:lvl w:ilvl="2" w:tplc="FE02542C">
      <w:start w:val="1"/>
      <w:numFmt w:val="bullet"/>
      <w:lvlText w:val="■"/>
      <w:lvlJc w:val="left"/>
      <w:pPr>
        <w:ind w:left="2160" w:hanging="360"/>
      </w:pPr>
    </w:lvl>
    <w:lvl w:ilvl="3" w:tplc="B3101C0E">
      <w:start w:val="1"/>
      <w:numFmt w:val="bullet"/>
      <w:lvlText w:val="●"/>
      <w:lvlJc w:val="left"/>
      <w:pPr>
        <w:ind w:left="2880" w:hanging="360"/>
      </w:pPr>
    </w:lvl>
    <w:lvl w:ilvl="4" w:tplc="A9D0327E">
      <w:start w:val="1"/>
      <w:numFmt w:val="bullet"/>
      <w:lvlText w:val="○"/>
      <w:lvlJc w:val="left"/>
      <w:pPr>
        <w:ind w:left="3600" w:hanging="360"/>
      </w:pPr>
    </w:lvl>
    <w:lvl w:ilvl="5" w:tplc="775A41FE">
      <w:start w:val="1"/>
      <w:numFmt w:val="bullet"/>
      <w:lvlText w:val="■"/>
      <w:lvlJc w:val="left"/>
      <w:pPr>
        <w:ind w:left="4320" w:hanging="360"/>
      </w:pPr>
    </w:lvl>
    <w:lvl w:ilvl="6" w:tplc="F8EAE1A6">
      <w:start w:val="1"/>
      <w:numFmt w:val="bullet"/>
      <w:lvlText w:val="●"/>
      <w:lvlJc w:val="left"/>
      <w:pPr>
        <w:ind w:left="5040" w:hanging="360"/>
      </w:pPr>
    </w:lvl>
    <w:lvl w:ilvl="7" w:tplc="61E05AF2">
      <w:start w:val="1"/>
      <w:numFmt w:val="bullet"/>
      <w:lvlText w:val="●"/>
      <w:lvlJc w:val="left"/>
      <w:pPr>
        <w:ind w:left="5760" w:hanging="360"/>
      </w:pPr>
    </w:lvl>
    <w:lvl w:ilvl="8" w:tplc="7264D32A">
      <w:start w:val="1"/>
      <w:numFmt w:val="bullet"/>
      <w:lvlText w:val="●"/>
      <w:lvlJc w:val="left"/>
      <w:pPr>
        <w:ind w:left="6480" w:hanging="360"/>
      </w:pPr>
    </w:lvl>
  </w:abstractNum>
  <w:num w:numId="1" w16cid:durableId="927425460">
    <w:abstractNumId w:val="2"/>
    <w:lvlOverride w:ilvl="0">
      <w:startOverride w:val="1"/>
    </w:lvlOverride>
  </w:num>
  <w:num w:numId="2" w16cid:durableId="1685354265">
    <w:abstractNumId w:val="0"/>
  </w:num>
  <w:num w:numId="3" w16cid:durableId="700133534">
    <w:abstractNumId w:val="1"/>
  </w:num>
  <w:num w:numId="4" w16cid:durableId="119610462">
    <w:abstractNumId w:val="1"/>
  </w:num>
  <w:num w:numId="5" w16cid:durableId="999772688">
    <w:abstractNumId w:val="1"/>
  </w:num>
  <w:num w:numId="6" w16cid:durableId="592054226">
    <w:abstractNumId w:val="1"/>
  </w:num>
  <w:num w:numId="7" w16cid:durableId="12846560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B00"/>
    <w:rsid w:val="00234002"/>
    <w:rsid w:val="002C036C"/>
    <w:rsid w:val="00702ECA"/>
    <w:rsid w:val="0083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48FB976"/>
  <w15:docId w15:val="{F6496FD7-3EB3-9648-ADF2-D35A720F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ontserrat" w:eastAsia="Montserrat" w:hAnsi="Montserrat" w:cs="Montserrat"/>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customStyle="1" w:styleId="Table">
    <w:name w:val="Tab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customStyle="1" w:styleId="SourceCode1">
    <w:name w:val="Source Code"/>
    <w:pPr>
      <w:wordWrap w:val="0"/>
    </w:pPr>
  </w:style>
  <w:style w:type="character" w:customStyle="1" w:styleId="KeywordTok1">
    <w:name w:val="KeywordTok"/>
    <w:rPr>
      <w:b/>
      <w:color w:val="007020"/>
    </w:rPr>
  </w:style>
  <w:style w:type="character" w:customStyle="1" w:styleId="DataTypeTok1">
    <w:name w:val="DataTypeTok"/>
    <w:rPr>
      <w:color w:val="902000"/>
    </w:rPr>
  </w:style>
  <w:style w:type="character" w:customStyle="1" w:styleId="DecValTok1">
    <w:name w:val="DecValTok"/>
    <w:rPr>
      <w:color w:val="40A070"/>
    </w:rPr>
  </w:style>
  <w:style w:type="character" w:customStyle="1" w:styleId="BaseNTok1">
    <w:name w:val="BaseNTok"/>
    <w:rPr>
      <w:color w:val="40A070"/>
    </w:rPr>
  </w:style>
  <w:style w:type="character" w:customStyle="1" w:styleId="FloatTok1">
    <w:name w:val="FloatTok"/>
    <w:rPr>
      <w:color w:val="40A070"/>
    </w:rPr>
  </w:style>
  <w:style w:type="character" w:customStyle="1" w:styleId="ConstantTok1">
    <w:name w:val="ConstantTok"/>
    <w:rPr>
      <w:color w:val="880000"/>
    </w:rPr>
  </w:style>
  <w:style w:type="character" w:customStyle="1" w:styleId="CharTok1">
    <w:name w:val="CharTok"/>
    <w:rPr>
      <w:color w:val="4070A0"/>
    </w:rPr>
  </w:style>
  <w:style w:type="character" w:customStyle="1" w:styleId="SpecialCharTok1">
    <w:name w:val="SpecialCharTok"/>
    <w:rPr>
      <w:color w:val="4070A0"/>
    </w:rPr>
  </w:style>
  <w:style w:type="character" w:customStyle="1" w:styleId="StringTok1">
    <w:name w:val="StringTok"/>
    <w:rPr>
      <w:color w:val="4070A0"/>
    </w:rPr>
  </w:style>
  <w:style w:type="character" w:customStyle="1" w:styleId="VerbatimStringTok1">
    <w:name w:val="VerbatimStringTok"/>
    <w:rPr>
      <w:color w:val="4070A0"/>
    </w:rPr>
  </w:style>
  <w:style w:type="character" w:customStyle="1" w:styleId="SpecialStringTok1">
    <w:name w:val="SpecialStringTok"/>
    <w:rPr>
      <w:color w:val="BB6688"/>
    </w:rPr>
  </w:style>
  <w:style w:type="character" w:customStyle="1" w:styleId="ImportTok1">
    <w:name w:val="ImportTok"/>
    <w:rPr>
      <w:b/>
      <w:color w:val="008000"/>
    </w:rPr>
  </w:style>
  <w:style w:type="character" w:customStyle="1" w:styleId="CommentTok1">
    <w:name w:val="CommentTok"/>
    <w:rPr>
      <w:i/>
      <w:color w:val="60A0B0"/>
    </w:rPr>
  </w:style>
  <w:style w:type="character" w:customStyle="1" w:styleId="DocumentationTok1">
    <w:name w:val="DocumentationTok"/>
    <w:rPr>
      <w:i/>
      <w:color w:val="BA2121"/>
    </w:rPr>
  </w:style>
  <w:style w:type="character" w:customStyle="1" w:styleId="AnnotationTok1">
    <w:name w:val="AnnotationTok"/>
    <w:rPr>
      <w:b/>
      <w:i/>
      <w:color w:val="60A0B0"/>
    </w:rPr>
  </w:style>
  <w:style w:type="character" w:customStyle="1" w:styleId="CommentVarTok1">
    <w:name w:val="CommentVarTok"/>
    <w:rPr>
      <w:b/>
      <w:i/>
      <w:color w:val="60A0B0"/>
    </w:rPr>
  </w:style>
  <w:style w:type="character" w:customStyle="1" w:styleId="OtherTok1">
    <w:name w:val="OtherTok"/>
    <w:rPr>
      <w:color w:val="007020"/>
    </w:rPr>
  </w:style>
  <w:style w:type="character" w:customStyle="1" w:styleId="FunctionTok1">
    <w:name w:val="FunctionTok"/>
    <w:rPr>
      <w:color w:val="06287E"/>
    </w:rPr>
  </w:style>
  <w:style w:type="character" w:customStyle="1" w:styleId="VariableTok1">
    <w:name w:val="VariableTok"/>
    <w:rPr>
      <w:color w:val="19177C"/>
    </w:rPr>
  </w:style>
  <w:style w:type="character" w:customStyle="1" w:styleId="ControlFlowTok1">
    <w:name w:val="ControlFlowTok"/>
    <w:rPr>
      <w:b/>
      <w:color w:val="007020"/>
    </w:rPr>
  </w:style>
  <w:style w:type="character" w:customStyle="1" w:styleId="OperatorTok1">
    <w:name w:val="OperatorTok"/>
    <w:rPr>
      <w:color w:val="666666"/>
    </w:rPr>
  </w:style>
  <w:style w:type="character" w:customStyle="1" w:styleId="BuiltInTok1">
    <w:name w:val="BuiltInTok"/>
    <w:rPr>
      <w:color w:val="008000"/>
    </w:rPr>
  </w:style>
  <w:style w:type="character" w:customStyle="1" w:styleId="ExtensionTok1">
    <w:name w:val="ExtensionTok"/>
  </w:style>
  <w:style w:type="character" w:customStyle="1" w:styleId="PreprocessorTok1">
    <w:name w:val="PreprocessorTok"/>
    <w:rPr>
      <w:color w:val="BC7A00"/>
    </w:rPr>
  </w:style>
  <w:style w:type="character" w:customStyle="1" w:styleId="AttributeTok1">
    <w:name w:val="AttributeTok"/>
    <w:rPr>
      <w:color w:val="7D9029"/>
    </w:rPr>
  </w:style>
  <w:style w:type="character" w:customStyle="1" w:styleId="RegionMarkerTok1">
    <w:name w:val="RegionMarkerTok"/>
  </w:style>
  <w:style w:type="character" w:customStyle="1" w:styleId="InformationTok1">
    <w:name w:val="InformationTok"/>
    <w:rPr>
      <w:b/>
      <w:i/>
      <w:color w:val="60A0B0"/>
    </w:rPr>
  </w:style>
  <w:style w:type="character" w:customStyle="1" w:styleId="WarningTok1">
    <w:name w:val="WarningTok"/>
    <w:rPr>
      <w:b/>
      <w:i/>
      <w:color w:val="60A0B0"/>
    </w:rPr>
  </w:style>
  <w:style w:type="character" w:customStyle="1" w:styleId="AlertTok1">
    <w:name w:val="AlertTok"/>
    <w:rPr>
      <w:b/>
      <w:color w:val="FF0000"/>
    </w:rPr>
  </w:style>
  <w:style w:type="character" w:customStyle="1" w:styleId="ErrorTok1">
    <w:name w:val="ErrorTok"/>
    <w:rPr>
      <w:b/>
      <w:color w:val="FF0000"/>
    </w:rPr>
  </w:style>
  <w:style w:type="character" w:customStyle="1" w:styleId="NormalTok1">
    <w:name w:val="NormalTok"/>
  </w:style>
  <w:style w:type="paragraph" w:customStyle="1" w:styleId="SourceCode2">
    <w:name w:val="Source Code"/>
    <w:pPr>
      <w:wordWrap w:val="0"/>
    </w:pPr>
  </w:style>
  <w:style w:type="character" w:customStyle="1" w:styleId="KeywordTok2">
    <w:name w:val="KeywordTok"/>
    <w:rPr>
      <w:b/>
      <w:color w:val="007020"/>
    </w:rPr>
  </w:style>
  <w:style w:type="character" w:customStyle="1" w:styleId="DataTypeTok2">
    <w:name w:val="DataTypeTok"/>
    <w:rPr>
      <w:color w:val="902000"/>
    </w:rPr>
  </w:style>
  <w:style w:type="character" w:customStyle="1" w:styleId="DecValTok2">
    <w:name w:val="DecValTok"/>
    <w:rPr>
      <w:color w:val="40A070"/>
    </w:rPr>
  </w:style>
  <w:style w:type="character" w:customStyle="1" w:styleId="BaseNTok2">
    <w:name w:val="BaseNTok"/>
    <w:rPr>
      <w:color w:val="40A070"/>
    </w:rPr>
  </w:style>
  <w:style w:type="character" w:customStyle="1" w:styleId="FloatTok2">
    <w:name w:val="FloatTok"/>
    <w:rPr>
      <w:color w:val="40A070"/>
    </w:rPr>
  </w:style>
  <w:style w:type="character" w:customStyle="1" w:styleId="ConstantTok2">
    <w:name w:val="ConstantTok"/>
    <w:rPr>
      <w:color w:val="880000"/>
    </w:rPr>
  </w:style>
  <w:style w:type="character" w:customStyle="1" w:styleId="CharTok2">
    <w:name w:val="CharTok"/>
    <w:rPr>
      <w:color w:val="4070A0"/>
    </w:rPr>
  </w:style>
  <w:style w:type="character" w:customStyle="1" w:styleId="SpecialCharTok2">
    <w:name w:val="SpecialCharTok"/>
    <w:rPr>
      <w:color w:val="4070A0"/>
    </w:rPr>
  </w:style>
  <w:style w:type="character" w:customStyle="1" w:styleId="StringTok2">
    <w:name w:val="StringTok"/>
    <w:rPr>
      <w:color w:val="4070A0"/>
    </w:rPr>
  </w:style>
  <w:style w:type="character" w:customStyle="1" w:styleId="VerbatimStringTok2">
    <w:name w:val="VerbatimStringTok"/>
    <w:rPr>
      <w:color w:val="4070A0"/>
    </w:rPr>
  </w:style>
  <w:style w:type="character" w:customStyle="1" w:styleId="SpecialStringTok2">
    <w:name w:val="SpecialStringTok"/>
    <w:rPr>
      <w:color w:val="BB6688"/>
    </w:rPr>
  </w:style>
  <w:style w:type="character" w:customStyle="1" w:styleId="ImportTok2">
    <w:name w:val="ImportTok"/>
    <w:rPr>
      <w:b/>
      <w:color w:val="008000"/>
    </w:rPr>
  </w:style>
  <w:style w:type="character" w:customStyle="1" w:styleId="CommentTok2">
    <w:name w:val="CommentTok"/>
    <w:rPr>
      <w:i/>
      <w:color w:val="60A0B0"/>
    </w:rPr>
  </w:style>
  <w:style w:type="character" w:customStyle="1" w:styleId="DocumentationTok2">
    <w:name w:val="DocumentationTok"/>
    <w:rPr>
      <w:i/>
      <w:color w:val="BA2121"/>
    </w:rPr>
  </w:style>
  <w:style w:type="character" w:customStyle="1" w:styleId="AnnotationTok2">
    <w:name w:val="AnnotationTok"/>
    <w:rPr>
      <w:b/>
      <w:i/>
      <w:color w:val="60A0B0"/>
    </w:rPr>
  </w:style>
  <w:style w:type="character" w:customStyle="1" w:styleId="CommentVarTok2">
    <w:name w:val="CommentVarTok"/>
    <w:rPr>
      <w:b/>
      <w:i/>
      <w:color w:val="60A0B0"/>
    </w:rPr>
  </w:style>
  <w:style w:type="character" w:customStyle="1" w:styleId="OtherTok2">
    <w:name w:val="OtherTok"/>
    <w:rPr>
      <w:color w:val="007020"/>
    </w:rPr>
  </w:style>
  <w:style w:type="character" w:customStyle="1" w:styleId="FunctionTok2">
    <w:name w:val="FunctionTok"/>
    <w:rPr>
      <w:color w:val="06287E"/>
    </w:rPr>
  </w:style>
  <w:style w:type="character" w:customStyle="1" w:styleId="VariableTok2">
    <w:name w:val="VariableTok"/>
    <w:rPr>
      <w:color w:val="19177C"/>
    </w:rPr>
  </w:style>
  <w:style w:type="character" w:customStyle="1" w:styleId="ControlFlowTok2">
    <w:name w:val="ControlFlowTok"/>
    <w:rPr>
      <w:b/>
      <w:color w:val="007020"/>
    </w:rPr>
  </w:style>
  <w:style w:type="character" w:customStyle="1" w:styleId="OperatorTok2">
    <w:name w:val="OperatorTok"/>
    <w:rPr>
      <w:color w:val="666666"/>
    </w:rPr>
  </w:style>
  <w:style w:type="character" w:customStyle="1" w:styleId="BuiltInTok2">
    <w:name w:val="BuiltInTok"/>
    <w:rPr>
      <w:color w:val="008000"/>
    </w:rPr>
  </w:style>
  <w:style w:type="character" w:customStyle="1" w:styleId="ExtensionTok2">
    <w:name w:val="ExtensionTok"/>
  </w:style>
  <w:style w:type="character" w:customStyle="1" w:styleId="PreprocessorTok2">
    <w:name w:val="PreprocessorTok"/>
    <w:rPr>
      <w:color w:val="BC7A00"/>
    </w:rPr>
  </w:style>
  <w:style w:type="character" w:customStyle="1" w:styleId="AttributeTok2">
    <w:name w:val="AttributeTok"/>
    <w:rPr>
      <w:color w:val="7D9029"/>
    </w:rPr>
  </w:style>
  <w:style w:type="character" w:customStyle="1" w:styleId="RegionMarkerTok2">
    <w:name w:val="RegionMarkerTok"/>
  </w:style>
  <w:style w:type="character" w:customStyle="1" w:styleId="InformationTok2">
    <w:name w:val="InformationTok"/>
    <w:rPr>
      <w:b/>
      <w:i/>
      <w:color w:val="60A0B0"/>
    </w:rPr>
  </w:style>
  <w:style w:type="character" w:customStyle="1" w:styleId="WarningTok2">
    <w:name w:val="WarningTok"/>
    <w:rPr>
      <w:b/>
      <w:i/>
      <w:color w:val="60A0B0"/>
    </w:rPr>
  </w:style>
  <w:style w:type="character" w:customStyle="1" w:styleId="AlertTok2">
    <w:name w:val="AlertTok"/>
    <w:rPr>
      <w:b/>
      <w:color w:val="FF0000"/>
    </w:rPr>
  </w:style>
  <w:style w:type="character" w:customStyle="1" w:styleId="ErrorTok2">
    <w:name w:val="ErrorTok"/>
    <w:rPr>
      <w:b/>
      <w:color w:val="FF0000"/>
    </w:rPr>
  </w:style>
  <w:style w:type="character" w:customStyle="1" w:styleId="NormalTok2">
    <w:name w:val="NormalTok"/>
  </w:style>
  <w:style w:type="paragraph" w:customStyle="1" w:styleId="SourceCode3">
    <w:name w:val="Source Code"/>
    <w:pPr>
      <w:wordWrap w:val="0"/>
    </w:pPr>
  </w:style>
  <w:style w:type="character" w:customStyle="1" w:styleId="KeywordTok3">
    <w:name w:val="KeywordTok"/>
    <w:rPr>
      <w:b/>
      <w:color w:val="007020"/>
    </w:rPr>
  </w:style>
  <w:style w:type="character" w:customStyle="1" w:styleId="DataTypeTok3">
    <w:name w:val="DataTypeTok"/>
    <w:rPr>
      <w:color w:val="902000"/>
    </w:rPr>
  </w:style>
  <w:style w:type="character" w:customStyle="1" w:styleId="DecValTok3">
    <w:name w:val="DecValTok"/>
    <w:rPr>
      <w:color w:val="40A070"/>
    </w:rPr>
  </w:style>
  <w:style w:type="character" w:customStyle="1" w:styleId="BaseNTok3">
    <w:name w:val="BaseNTok"/>
    <w:rPr>
      <w:color w:val="40A070"/>
    </w:rPr>
  </w:style>
  <w:style w:type="character" w:customStyle="1" w:styleId="FloatTok3">
    <w:name w:val="FloatTok"/>
    <w:rPr>
      <w:color w:val="40A070"/>
    </w:rPr>
  </w:style>
  <w:style w:type="character" w:customStyle="1" w:styleId="ConstantTok3">
    <w:name w:val="ConstantTok"/>
    <w:rPr>
      <w:color w:val="880000"/>
    </w:rPr>
  </w:style>
  <w:style w:type="character" w:customStyle="1" w:styleId="CharTok3">
    <w:name w:val="CharTok"/>
    <w:rPr>
      <w:color w:val="4070A0"/>
    </w:rPr>
  </w:style>
  <w:style w:type="character" w:customStyle="1" w:styleId="SpecialCharTok3">
    <w:name w:val="SpecialCharTok"/>
    <w:rPr>
      <w:color w:val="4070A0"/>
    </w:rPr>
  </w:style>
  <w:style w:type="character" w:customStyle="1" w:styleId="StringTok3">
    <w:name w:val="StringTok"/>
    <w:rPr>
      <w:color w:val="4070A0"/>
    </w:rPr>
  </w:style>
  <w:style w:type="character" w:customStyle="1" w:styleId="VerbatimStringTok3">
    <w:name w:val="VerbatimStringTok"/>
    <w:rPr>
      <w:color w:val="4070A0"/>
    </w:rPr>
  </w:style>
  <w:style w:type="character" w:customStyle="1" w:styleId="SpecialStringTok3">
    <w:name w:val="SpecialStringTok"/>
    <w:rPr>
      <w:color w:val="BB6688"/>
    </w:rPr>
  </w:style>
  <w:style w:type="character" w:customStyle="1" w:styleId="ImportTok3">
    <w:name w:val="ImportTok"/>
    <w:rPr>
      <w:b/>
      <w:color w:val="008000"/>
    </w:rPr>
  </w:style>
  <w:style w:type="character" w:customStyle="1" w:styleId="CommentTok3">
    <w:name w:val="CommentTok"/>
    <w:rPr>
      <w:i/>
      <w:color w:val="60A0B0"/>
    </w:rPr>
  </w:style>
  <w:style w:type="character" w:customStyle="1" w:styleId="DocumentationTok3">
    <w:name w:val="DocumentationTok"/>
    <w:rPr>
      <w:i/>
      <w:color w:val="BA2121"/>
    </w:rPr>
  </w:style>
  <w:style w:type="character" w:customStyle="1" w:styleId="AnnotationTok3">
    <w:name w:val="AnnotationTok"/>
    <w:rPr>
      <w:b/>
      <w:i/>
      <w:color w:val="60A0B0"/>
    </w:rPr>
  </w:style>
  <w:style w:type="character" w:customStyle="1" w:styleId="CommentVarTok3">
    <w:name w:val="CommentVarTok"/>
    <w:rPr>
      <w:b/>
      <w:i/>
      <w:color w:val="60A0B0"/>
    </w:rPr>
  </w:style>
  <w:style w:type="character" w:customStyle="1" w:styleId="OtherTok3">
    <w:name w:val="OtherTok"/>
    <w:rPr>
      <w:color w:val="007020"/>
    </w:rPr>
  </w:style>
  <w:style w:type="character" w:customStyle="1" w:styleId="FunctionTok3">
    <w:name w:val="FunctionTok"/>
    <w:rPr>
      <w:color w:val="06287E"/>
    </w:rPr>
  </w:style>
  <w:style w:type="character" w:customStyle="1" w:styleId="VariableTok3">
    <w:name w:val="VariableTok"/>
    <w:rPr>
      <w:color w:val="19177C"/>
    </w:rPr>
  </w:style>
  <w:style w:type="character" w:customStyle="1" w:styleId="ControlFlowTok3">
    <w:name w:val="ControlFlowTok"/>
    <w:rPr>
      <w:b/>
      <w:color w:val="007020"/>
    </w:rPr>
  </w:style>
  <w:style w:type="character" w:customStyle="1" w:styleId="OperatorTok3">
    <w:name w:val="OperatorTok"/>
    <w:rPr>
      <w:color w:val="666666"/>
    </w:rPr>
  </w:style>
  <w:style w:type="character" w:customStyle="1" w:styleId="BuiltInTok3">
    <w:name w:val="BuiltInTok"/>
    <w:rPr>
      <w:color w:val="008000"/>
    </w:rPr>
  </w:style>
  <w:style w:type="character" w:customStyle="1" w:styleId="ExtensionTok3">
    <w:name w:val="ExtensionTok"/>
  </w:style>
  <w:style w:type="character" w:customStyle="1" w:styleId="PreprocessorTok3">
    <w:name w:val="PreprocessorTok"/>
    <w:rPr>
      <w:color w:val="BC7A00"/>
    </w:rPr>
  </w:style>
  <w:style w:type="character" w:customStyle="1" w:styleId="AttributeTok3">
    <w:name w:val="AttributeTok"/>
    <w:rPr>
      <w:color w:val="7D9029"/>
    </w:rPr>
  </w:style>
  <w:style w:type="character" w:customStyle="1" w:styleId="RegionMarkerTok3">
    <w:name w:val="RegionMarkerTok"/>
  </w:style>
  <w:style w:type="character" w:customStyle="1" w:styleId="InformationTok3">
    <w:name w:val="InformationTok"/>
    <w:rPr>
      <w:b/>
      <w:i/>
      <w:color w:val="60A0B0"/>
    </w:rPr>
  </w:style>
  <w:style w:type="character" w:customStyle="1" w:styleId="WarningTok3">
    <w:name w:val="WarningTok"/>
    <w:rPr>
      <w:b/>
      <w:i/>
      <w:color w:val="60A0B0"/>
    </w:rPr>
  </w:style>
  <w:style w:type="character" w:customStyle="1" w:styleId="AlertTok3">
    <w:name w:val="AlertTok"/>
    <w:rPr>
      <w:b/>
      <w:color w:val="FF0000"/>
    </w:rPr>
  </w:style>
  <w:style w:type="character" w:customStyle="1" w:styleId="ErrorTok3">
    <w:name w:val="ErrorTok"/>
    <w:rPr>
      <w:b/>
      <w:color w:val="FF0000"/>
    </w:rPr>
  </w:style>
  <w:style w:type="character" w:customStyle="1" w:styleId="NormalTok3">
    <w:name w:val="NormalTok"/>
  </w:style>
  <w:style w:type="paragraph" w:customStyle="1" w:styleId="SourceCode4">
    <w:name w:val="Source Code"/>
    <w:pPr>
      <w:wordWrap w:val="0"/>
    </w:pPr>
  </w:style>
  <w:style w:type="character" w:customStyle="1" w:styleId="KeywordTok4">
    <w:name w:val="KeywordTok"/>
    <w:rPr>
      <w:b/>
      <w:color w:val="007020"/>
    </w:rPr>
  </w:style>
  <w:style w:type="character" w:customStyle="1" w:styleId="DataTypeTok4">
    <w:name w:val="DataTypeTok"/>
    <w:rPr>
      <w:color w:val="902000"/>
    </w:rPr>
  </w:style>
  <w:style w:type="character" w:customStyle="1" w:styleId="DecValTok4">
    <w:name w:val="DecValTok"/>
    <w:rPr>
      <w:color w:val="40A070"/>
    </w:rPr>
  </w:style>
  <w:style w:type="character" w:customStyle="1" w:styleId="BaseNTok4">
    <w:name w:val="BaseNTok"/>
    <w:rPr>
      <w:color w:val="40A070"/>
    </w:rPr>
  </w:style>
  <w:style w:type="character" w:customStyle="1" w:styleId="FloatTok4">
    <w:name w:val="FloatTok"/>
    <w:rPr>
      <w:color w:val="40A070"/>
    </w:rPr>
  </w:style>
  <w:style w:type="character" w:customStyle="1" w:styleId="ConstantTok4">
    <w:name w:val="ConstantTok"/>
    <w:rPr>
      <w:color w:val="880000"/>
    </w:rPr>
  </w:style>
  <w:style w:type="character" w:customStyle="1" w:styleId="CharTok4">
    <w:name w:val="CharTok"/>
    <w:rPr>
      <w:color w:val="4070A0"/>
    </w:rPr>
  </w:style>
  <w:style w:type="character" w:customStyle="1" w:styleId="SpecialCharTok4">
    <w:name w:val="SpecialCharTok"/>
    <w:rPr>
      <w:color w:val="4070A0"/>
    </w:rPr>
  </w:style>
  <w:style w:type="character" w:customStyle="1" w:styleId="StringTok4">
    <w:name w:val="StringTok"/>
    <w:rPr>
      <w:color w:val="4070A0"/>
    </w:rPr>
  </w:style>
  <w:style w:type="character" w:customStyle="1" w:styleId="VerbatimStringTok4">
    <w:name w:val="VerbatimStringTok"/>
    <w:rPr>
      <w:color w:val="4070A0"/>
    </w:rPr>
  </w:style>
  <w:style w:type="character" w:customStyle="1" w:styleId="SpecialStringTok4">
    <w:name w:val="SpecialStringTok"/>
    <w:rPr>
      <w:color w:val="BB6688"/>
    </w:rPr>
  </w:style>
  <w:style w:type="character" w:customStyle="1" w:styleId="ImportTok4">
    <w:name w:val="ImportTok"/>
    <w:rPr>
      <w:b/>
      <w:color w:val="008000"/>
    </w:rPr>
  </w:style>
  <w:style w:type="character" w:customStyle="1" w:styleId="CommentTok4">
    <w:name w:val="CommentTok"/>
    <w:rPr>
      <w:i/>
      <w:color w:val="60A0B0"/>
    </w:rPr>
  </w:style>
  <w:style w:type="character" w:customStyle="1" w:styleId="DocumentationTok4">
    <w:name w:val="DocumentationTok"/>
    <w:rPr>
      <w:i/>
      <w:color w:val="BA2121"/>
    </w:rPr>
  </w:style>
  <w:style w:type="character" w:customStyle="1" w:styleId="AnnotationTok4">
    <w:name w:val="AnnotationTok"/>
    <w:rPr>
      <w:b/>
      <w:i/>
      <w:color w:val="60A0B0"/>
    </w:rPr>
  </w:style>
  <w:style w:type="character" w:customStyle="1" w:styleId="CommentVarTok4">
    <w:name w:val="CommentVarTok"/>
    <w:rPr>
      <w:b/>
      <w:i/>
      <w:color w:val="60A0B0"/>
    </w:rPr>
  </w:style>
  <w:style w:type="character" w:customStyle="1" w:styleId="OtherTok4">
    <w:name w:val="OtherTok"/>
    <w:rPr>
      <w:color w:val="007020"/>
    </w:rPr>
  </w:style>
  <w:style w:type="character" w:customStyle="1" w:styleId="FunctionTok4">
    <w:name w:val="FunctionTok"/>
    <w:rPr>
      <w:color w:val="06287E"/>
    </w:rPr>
  </w:style>
  <w:style w:type="character" w:customStyle="1" w:styleId="VariableTok4">
    <w:name w:val="VariableTok"/>
    <w:rPr>
      <w:color w:val="19177C"/>
    </w:rPr>
  </w:style>
  <w:style w:type="character" w:customStyle="1" w:styleId="ControlFlowTok4">
    <w:name w:val="ControlFlowTok"/>
    <w:rPr>
      <w:b/>
      <w:color w:val="007020"/>
    </w:rPr>
  </w:style>
  <w:style w:type="character" w:customStyle="1" w:styleId="OperatorTok4">
    <w:name w:val="OperatorTok"/>
    <w:rPr>
      <w:color w:val="666666"/>
    </w:rPr>
  </w:style>
  <w:style w:type="character" w:customStyle="1" w:styleId="BuiltInTok4">
    <w:name w:val="BuiltInTok"/>
    <w:rPr>
      <w:color w:val="008000"/>
    </w:rPr>
  </w:style>
  <w:style w:type="character" w:customStyle="1" w:styleId="ExtensionTok4">
    <w:name w:val="ExtensionTok"/>
  </w:style>
  <w:style w:type="character" w:customStyle="1" w:styleId="PreprocessorTok4">
    <w:name w:val="PreprocessorTok"/>
    <w:rPr>
      <w:color w:val="BC7A00"/>
    </w:rPr>
  </w:style>
  <w:style w:type="character" w:customStyle="1" w:styleId="AttributeTok4">
    <w:name w:val="AttributeTok"/>
    <w:rPr>
      <w:color w:val="7D9029"/>
    </w:rPr>
  </w:style>
  <w:style w:type="character" w:customStyle="1" w:styleId="RegionMarkerTok4">
    <w:name w:val="RegionMarkerTok"/>
  </w:style>
  <w:style w:type="character" w:customStyle="1" w:styleId="InformationTok4">
    <w:name w:val="InformationTok"/>
    <w:rPr>
      <w:b/>
      <w:i/>
      <w:color w:val="60A0B0"/>
    </w:rPr>
  </w:style>
  <w:style w:type="character" w:customStyle="1" w:styleId="WarningTok4">
    <w:name w:val="WarningTok"/>
    <w:rPr>
      <w:b/>
      <w:i/>
      <w:color w:val="60A0B0"/>
    </w:rPr>
  </w:style>
  <w:style w:type="character" w:customStyle="1" w:styleId="AlertTok4">
    <w:name w:val="AlertTok"/>
    <w:rPr>
      <w:b/>
      <w:color w:val="FF0000"/>
    </w:rPr>
  </w:style>
  <w:style w:type="character" w:customStyle="1" w:styleId="ErrorTok4">
    <w:name w:val="ErrorTok"/>
    <w:rPr>
      <w:b/>
      <w:color w:val="FF0000"/>
    </w:rPr>
  </w:style>
  <w:style w:type="character" w:customStyle="1" w:styleId="NormalTok4">
    <w:name w:val="NormalTok"/>
  </w:style>
  <w:style w:type="character" w:styleId="UnresolvedMention">
    <w:name w:val="Unresolved Mention"/>
    <w:basedOn w:val="DefaultParagraphFont"/>
    <w:uiPriority w:val="99"/>
    <w:semiHidden/>
    <w:unhideWhenUsed/>
    <w:rsid w:val="002C0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cameron@brian-camer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852</Words>
  <Characters>5699</Characters>
  <Application>Microsoft Office Word</Application>
  <DocSecurity>0</DocSecurity>
  <Lines>91</Lines>
  <Paragraphs>27</Paragraphs>
  <ScaleCrop>false</ScaleCrop>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Scott Hansbury</cp:lastModifiedBy>
  <cp:revision>2</cp:revision>
  <dcterms:created xsi:type="dcterms:W3CDTF">2026-07-27T22:09:00Z</dcterms:created>
  <dcterms:modified xsi:type="dcterms:W3CDTF">2026-07-27T22:18:00Z</dcterms:modified>
</cp:coreProperties>
</file>