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members:</w:t>
      </w:r>
      <w:r>
        <w:t xml:space="preserve"> </w:t>
      </w:r>
      <w:r>
        <w:t xml:space="preserve">a member may NOT use HSA/FSA toward a membership or session fees that include Enyrgy access — that is a membership, not a medical purchase. A member who buys their own home Consumer Unit through the facility CAN use HSA/FSA on that purchase, because it is the same personal device purchase as any direct consumer order. Keep the two straight: the recurring membership is never eligible, the home unit is.</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4"/>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4"/>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5"/>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5"/>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5"/>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5"/>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5"/>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5"/>
        </w:numPr>
      </w:pPr>
      <w:r>
        <w:t xml:space="preserve">Efficiency: 2.4x more efficient than sunlight for Vitamin D synthesis; 2 to 4 minutes equals 2 to 4 hours of mid-day sun (about 60x).</w:t>
      </w:r>
    </w:p>
    <w:p>
      <w:pPr>
        <w:pStyle w:val="Compact"/>
        <w:numPr>
          <w:ilvl w:val="0"/>
          <w:numId w:val="1005"/>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5"/>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6"/>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6"/>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6"/>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7"/>
        </w:numPr>
      </w:pPr>
      <w:r>
        <w:t xml:space="preserve">Every human body was meant to thrive on sunlight. We just made it safe, personalized and controllable. (Standard Description, do not alter.)</w:t>
      </w:r>
    </w:p>
    <w:p>
      <w:pPr>
        <w:pStyle w:val="Compact"/>
        <w:numPr>
          <w:ilvl w:val="0"/>
          <w:numId w:val="1007"/>
        </w:numPr>
      </w:pPr>
      <w:r>
        <w:t xml:space="preserve">Get your body responding to sunlight the way it was meant to.</w:t>
      </w:r>
    </w:p>
    <w:p>
      <w:pPr>
        <w:pStyle w:val="Compact"/>
        <w:numPr>
          <w:ilvl w:val="0"/>
          <w:numId w:val="1007"/>
        </w:numPr>
      </w:pPr>
      <w:r>
        <w:t xml:space="preserve">Three biological pathways, switched on in 2 to 4 minutes.</w:t>
      </w:r>
    </w:p>
    <w:p>
      <w:pPr>
        <w:pStyle w:val="Compact"/>
        <w:numPr>
          <w:ilvl w:val="0"/>
          <w:numId w:val="1007"/>
        </w:numPr>
      </w:pPr>
      <w:r>
        <w:t xml:space="preserve">25,000+ sessions with zero adverse events.</w:t>
      </w:r>
    </w:p>
    <w:p>
      <w:pPr>
        <w:pStyle w:val="Compact"/>
        <w:numPr>
          <w:ilvl w:val="0"/>
          <w:numId w:val="1007"/>
        </w:numPr>
      </w:pPr>
      <w:r>
        <w:t xml:space="preserve">In our clinical study, 100 percent of participants reached optimal Vitamin D levels.</w:t>
      </w:r>
    </w:p>
    <w:p>
      <w:pPr>
        <w:pStyle w:val="Compact"/>
        <w:numPr>
          <w:ilvl w:val="0"/>
          <w:numId w:val="1007"/>
        </w:numPr>
      </w:pPr>
      <w:r>
        <w:t xml:space="preserve">2.4x more efficient than sunlight for Vitamin D synthesis.</w:t>
      </w:r>
    </w:p>
    <w:p>
      <w:pPr>
        <w:pStyle w:val="Compact"/>
        <w:numPr>
          <w:ilvl w:val="0"/>
          <w:numId w:val="1007"/>
        </w:numPr>
      </w:pPr>
      <w:r>
        <w:t xml:space="preserve">The app reads your skin type, sets your dose, and ends the session for you.</w:t>
      </w:r>
    </w:p>
    <w:p>
      <w:pPr>
        <w:pStyle w:val="Compact"/>
        <w:numPr>
          <w:ilvl w:val="0"/>
          <w:numId w:val="1007"/>
        </w:numPr>
      </w:pPr>
      <w:r>
        <w:t xml:space="preserve">Under 1 percent of people send it back. The industry lives at 5 to 10 percent.</w:t>
      </w:r>
    </w:p>
    <w:p>
      <w:pPr>
        <w:pStyle w:val="Compact"/>
        <w:numPr>
          <w:ilvl w:val="0"/>
          <w:numId w:val="1007"/>
        </w:numPr>
      </w:pPr>
      <w:r>
        <w:t xml:space="preserve">Built in Phoenix, Arizona. Made in USA.</w:t>
      </w:r>
    </w:p>
    <w:p>
      <w:pPr>
        <w:pStyle w:val="Compact"/>
        <w:numPr>
          <w:ilvl w:val="0"/>
          <w:numId w:val="1007"/>
        </w:numPr>
      </w:pPr>
      <w:r>
        <w:t xml:space="preserve">600+ users, 5 countries, zero paid ads.</w:t>
      </w:r>
    </w:p>
    <w:p>
      <w:pPr>
        <w:pStyle w:val="Compact"/>
        <w:numPr>
          <w:ilvl w:val="0"/>
          <w:numId w:val="1007"/>
        </w:numPr>
      </w:pPr>
      <w:r>
        <w:t xml:space="preserve">Lumanova picked our technology to launch their own light, Luma D Light.</w:t>
      </w:r>
    </w:p>
    <w:p>
      <w:pPr>
        <w:pStyle w:val="Compact"/>
        <w:numPr>
          <w:ilvl w:val="0"/>
          <w:numId w:val="1007"/>
        </w:numPr>
      </w:pPr>
      <w:r>
        <w:t xml:space="preserve">$2,995 to own it at home. $8,950 for the commercial unit.</w:t>
      </w:r>
    </w:p>
    <w:p>
      <w:pPr>
        <w:pStyle w:val="Compact"/>
        <w:numPr>
          <w:ilvl w:val="0"/>
          <w:numId w:val="1007"/>
        </w:numPr>
      </w:pPr>
      <w:r>
        <w:t xml:space="preserve">That is $2.30 a session at 5 a week over 5 years.</w:t>
      </w:r>
    </w:p>
    <w:p>
      <w:pPr>
        <w:pStyle w:val="Compact"/>
        <w:numPr>
          <w:ilvl w:val="0"/>
          <w:numId w:val="1007"/>
        </w:numPr>
      </w:pPr>
      <w:r>
        <w:t xml:space="preserve">90 percent of our customers run red light too. Different jobs, same routine.</w:t>
      </w:r>
    </w:p>
    <w:p>
      <w:pPr>
        <w:pStyle w:val="Compact"/>
        <w:numPr>
          <w:ilvl w:val="0"/>
          <w:numId w:val="1007"/>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8"/>
        </w:numPr>
      </w:pPr>
      <w:r>
        <w:t xml:space="preserve">Is this safe? Fair worry. Sunlight is about 95 percent UVA. We flipped it: over 90 percent UVB, under 10 percent UVA. The app reads your skin type, sets your personal dose, and ends the session for you. 25,000+ sessions in, zero burns, zero adverse events.</w:t>
      </w:r>
    </w:p>
    <w:p>
      <w:pPr>
        <w:pStyle w:val="Compact"/>
        <w:numPr>
          <w:ilvl w:val="0"/>
          <w:numId w:val="1008"/>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8"/>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8"/>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8"/>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09"/>
        </w:numPr>
      </w:pPr>
      <w:r>
        <w:t xml:space="preserve">We already have red light. Ninety percent of our customers use both. They do different biological jobs, so this sits alongside what you already offer instead of replacing it.</w:t>
      </w:r>
    </w:p>
    <w:p>
      <w:pPr>
        <w:pStyle w:val="Compact"/>
        <w:numPr>
          <w:ilvl w:val="0"/>
          <w:numId w:val="1009"/>
        </w:numPr>
      </w:pPr>
      <w:r>
        <w:t xml:space="preserve">Would clients pay? Vitamin D runs low in 77 percent of indoor adults, so the demand is already in your book. Operators are charging $49 to $125 a month for it, depending on their market and clientele.</w:t>
      </w:r>
    </w:p>
    <w:p>
      <w:pPr>
        <w:pStyle w:val="Compact"/>
        <w:numPr>
          <w:ilvl w:val="0"/>
          <w:numId w:val="1009"/>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0"/>
        </w:numPr>
      </w:pPr>
      <w:r>
        <w:t xml:space="preserve">Where is the equity upside? There is a conversion option at a 20 percent discount to an independent SEC valuation.</w:t>
      </w:r>
    </w:p>
    <w:p>
      <w:pPr>
        <w:pStyle w:val="Compact"/>
        <w:numPr>
          <w:ilvl w:val="0"/>
          <w:numId w:val="1010"/>
        </w:numPr>
      </w:pPr>
      <w:r>
        <w:t xml:space="preserve">Is this a crowded market? It looks crowded until you line up the mechanisms. Nobody else delivers all three pathways. We are a category of one.</w:t>
      </w:r>
    </w:p>
    <w:p>
      <w:pPr>
        <w:pStyle w:val="Compact"/>
        <w:numPr>
          <w:ilvl w:val="0"/>
          <w:numId w:val="1010"/>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1"/>
        </w:numPr>
      </w:pPr>
      <w:r>
        <w:t xml:space="preserve">Accent: Sunrise Orange #E64C38 only. No violet, purple, or amber.</w:t>
      </w:r>
    </w:p>
    <w:p>
      <w:pPr>
        <w:pStyle w:val="Compact"/>
        <w:numPr>
          <w:ilvl w:val="0"/>
          <w:numId w:val="1011"/>
        </w:numPr>
      </w:pPr>
      <w:r>
        <w:t xml:space="preserve">Typography: Montserrat, all weights.</w:t>
      </w:r>
    </w:p>
    <w:p>
      <w:pPr>
        <w:pStyle w:val="Compact"/>
        <w:numPr>
          <w:ilvl w:val="0"/>
          <w:numId w:val="1011"/>
        </w:numPr>
      </w:pPr>
      <w:r>
        <w:t xml:space="preserve">Text: Deep Charcoal #1A1A1A. Panels: Warm Off-White #F7F4EE, Calm Beige #ECE4CF. Line #E2DBC9. Muted #6B6B66.</w:t>
      </w:r>
    </w:p>
    <w:p>
      <w:pPr>
        <w:pStyle w:val="Compact"/>
        <w:numPr>
          <w:ilvl w:val="0"/>
          <w:numId w:val="1011"/>
        </w:numPr>
      </w:pPr>
      <w:r>
        <w:t xml:space="preserve">Tagline:</w:t>
      </w:r>
      <w:r>
        <w:t xml:space="preserve"> </w:t>
      </w:r>
      <w:r>
        <w:t xml:space="preserve">“Sunlight. Evolved.”</w:t>
      </w:r>
    </w:p>
    <w:p>
      <w:pPr>
        <w:pStyle w:val="Compact"/>
        <w:numPr>
          <w:ilvl w:val="0"/>
          <w:numId w:val="1011"/>
        </w:numPr>
      </w:pPr>
      <w:r>
        <w:t xml:space="preserve">Voice: peer-to-peer, founder-to-peer. No em-dashes ever; use a comma, period, or rewrite. No icons or decorative glyphs.</w:t>
      </w:r>
    </w:p>
    <w:p>
      <w:pPr>
        <w:pStyle w:val="Compact"/>
        <w:numPr>
          <w:ilvl w:val="0"/>
          <w:numId w:val="1011"/>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2"/>
        </w:numPr>
      </w:pPr>
      <w:r>
        <w:t xml:space="preserve">Structure: Private Credit, Promissory Note.</w:t>
      </w:r>
    </w:p>
    <w:p>
      <w:pPr>
        <w:pStyle w:val="Compact"/>
        <w:numPr>
          <w:ilvl w:val="0"/>
          <w:numId w:val="1012"/>
        </w:numPr>
      </w:pPr>
      <w:r>
        <w:t xml:space="preserve">Total raise: $3.5M. Minimum: $50,000. Return: 12 percent per annum. Term: 3 years.</w:t>
      </w:r>
    </w:p>
    <w:p>
      <w:pPr>
        <w:pStyle w:val="Compact"/>
        <w:numPr>
          <w:ilvl w:val="0"/>
          <w:numId w:val="1012"/>
        </w:numPr>
      </w:pPr>
      <w:r>
        <w:t xml:space="preserve">Interest paid quarterly (postponed the first 3 months).</w:t>
      </w:r>
    </w:p>
    <w:p>
      <w:pPr>
        <w:pStyle w:val="Compact"/>
        <w:numPr>
          <w:ilvl w:val="0"/>
          <w:numId w:val="1012"/>
        </w:numPr>
      </w:pPr>
      <w:r>
        <w:t xml:space="preserve">Conversion option: at investor discretion, 20 percent discount from an independent SEC valuation.</w:t>
      </w:r>
    </w:p>
    <w:p>
      <w:pPr>
        <w:pStyle w:val="Compact"/>
        <w:numPr>
          <w:ilvl w:val="0"/>
          <w:numId w:val="1012"/>
        </w:numPr>
      </w:pPr>
      <w:r>
        <w:t xml:space="preserve">Exit target: $100 to 150M in 5 years.</w:t>
      </w:r>
    </w:p>
    <w:p>
      <w:pPr>
        <w:pStyle w:val="Compact"/>
        <w:numPr>
          <w:ilvl w:val="0"/>
          <w:numId w:val="1012"/>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3"/>
        </w:numPr>
      </w:pPr>
      <w:r>
        <w:t xml:space="preserve">Partner: Lumanova. Product brand: Luma D Light. Pricing: same MSRP ($2,995 / $8,950).</w:t>
      </w:r>
    </w:p>
    <w:p>
      <w:pPr>
        <w:pStyle w:val="Compact"/>
        <w:numPr>
          <w:ilvl w:val="0"/>
          <w:numId w:val="1013"/>
        </w:numPr>
      </w:pPr>
      <w:r>
        <w:t xml:space="preserve">Arrangement: OEM white-label; Lumanova sells under their brand, Enyrgy manufactures. Exclusivity: Black Unit.</w:t>
      </w:r>
    </w:p>
    <w:p>
      <w:pPr>
        <w:pStyle w:val="Compact"/>
        <w:numPr>
          <w:ilvl w:val="0"/>
          <w:numId w:val="1013"/>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3"/>
        </w:numPr>
      </w:pPr>
      <w:r>
        <w:t xml:space="preserve">Any OEM matter escalates through the CEO to the human founders.</w:t>
      </w:r>
    </w:p>
    <w:p>
      <w:pPr>
        <w:pStyle w:val="Compact"/>
        <w:numPr>
          <w:ilvl w:val="0"/>
          <w:numId w:val="1013"/>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bookmarkEnd w:id="23"/>
    <w:bookmarkStart w:id="24" w:name="key-reference-facts-quick-lookup"/>
    <w:p>
      <w:pPr>
        <w:pStyle w:val="Heading2"/>
      </w:pPr>
      <w:r>
        <w:t xml:space="preserve">15. Key reference facts (quick lookup)</w:t>
      </w:r>
    </w:p>
    <w:tbl>
      <w:tblPr>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2026-08-12T21:39:50Z</dcterms:created>
  <dcterms:modified xsi:type="dcterms:W3CDTF">2026-08-12T21:39:50Z</dcterms:modified>
</cp:coreProperties>
</file>

<file path=docProps/custom.xml><?xml version="1.0" encoding="utf-8"?>
<Properties xmlns="http://schemas.openxmlformats.org/officeDocument/2006/custom-properties" xmlns:vt="http://schemas.openxmlformats.org/officeDocument/2006/docPropsVTypes"/>
</file>