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materialize.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PRODUCT FEED: DECIDED AGAINST, August 16, 2026. Do not set one up until Shopify captures</w:t>
      </w:r>
      <w:r>
        <w:rPr>
          <w:b/>
          <w:bCs/>
        </w:rPr>
        <w:t xml:space="preserve"> </w:t>
      </w:r>
      <w:r>
        <w:rPr>
          <w:rStyle w:val="VerbatimChar"/>
          <w:b/>
          <w:bCs/>
        </w:rPr>
        <w:t xml:space="preserve">refid</w:t>
      </w:r>
      <w:r>
        <w:rPr>
          <w:b/>
          <w:bCs/>
        </w:rPr>
        <w:t xml:space="preserve">.</w:t>
      </w:r>
      <w:r>
        <w:t xml:space="preserve"> </w:t>
      </w:r>
      <w:r>
        <w:t xml:space="preserve">FlexOffers offers advertisers a product feed (Programs → Products) that publishes a product catalog so publishers can promote individual SKUs. It looks like an obvious win on the page and it is not, because it is incompatible with how 250377 attributes sales.</w:t>
      </w:r>
    </w:p>
    <w:p>
      <w:pPr>
        <w:pStyle w:val="BodyText"/>
      </w:pPr>
      <w:r>
        <w:rPr>
          <w:b/>
          <w:bCs/>
        </w:rPr>
        <w:t xml:space="preserve">Why it breaks.</w:t>
      </w:r>
      <w:r>
        <w:t xml:space="preserve"> </w:t>
      </w:r>
      <w:r>
        <w:t xml:space="preserve">Attribution is capture-and-postback: the five lead-magnet pages read</w:t>
      </w:r>
      <w:r>
        <w:t xml:space="preserve"> </w:t>
      </w:r>
      <w:r>
        <w:rPr>
          <w:rStyle w:val="VerbatimChar"/>
        </w:rPr>
        <w:t xml:space="preserve">refid</w:t>
      </w:r>
      <w:r>
        <w:t xml:space="preserve"> </w:t>
      </w:r>
      <w:r>
        <w:t xml:space="preserve">from the landing URL and store it, and WF-30 fires the postback on Order fulfilled gated on</w:t>
      </w:r>
      <w:r>
        <w:t xml:space="preserve"> </w:t>
      </w:r>
      <w:r>
        <w:rPr>
          <w:rStyle w:val="VerbatimChar"/>
        </w:rPr>
        <w:t xml:space="preserve">FlexOffers Refid is not empty</w:t>
      </w:r>
      <w:r>
        <w:t xml:space="preserve">. A product feed hands publishers product-level links that go</w:t>
      </w:r>
      <w:r>
        <w:t xml:space="preserve"> </w:t>
      </w:r>
      <w:r>
        <w:rPr>
          <w:b/>
          <w:bCs/>
        </w:rPr>
        <w:t xml:space="preserve">straight to</w:t>
      </w:r>
      <w:r>
        <w:rPr>
          <w:b/>
          <w:bCs/>
        </w:rPr>
        <w:t xml:space="preserve"> </w:t>
      </w:r>
      <w:r>
        <w:rPr>
          <w:rStyle w:val="VerbatimChar"/>
          <w:b/>
          <w:bCs/>
        </w:rPr>
        <w:t xml:space="preserve">shop.enyrgy.com</w:t>
      </w:r>
      <w:r>
        <w:rPr>
          <w:b/>
          <w:bCs/>
        </w:rPr>
        <w:t xml:space="preserve">, which runs none of that capture code</w:t>
      </w:r>
      <w:r>
        <w:t xml:space="preserve">. A visitor arrives on Shopify with a</w:t>
      </w:r>
      <w:r>
        <w:t xml:space="preserve"> </w:t>
      </w:r>
      <w:r>
        <w:rPr>
          <w:rStyle w:val="VerbatimChar"/>
        </w:rPr>
        <w:t xml:space="preserve">refid</w:t>
      </w:r>
      <w:r>
        <w:t xml:space="preserve"> </w:t>
      </w:r>
      <w:r>
        <w:t xml:space="preserve">nothing reads, buys, and WF-30 finds the field empty and sends no postback. The publisher earns nothing having done exactly what the feed invited. This is the same failure shape as the WF-25 reply path: the tool invites an action the system cannot pay for. It is also why</w:t>
      </w:r>
      <w:r>
        <w:t xml:space="preserve"> </w:t>
      </w:r>
      <w:r>
        <w:rPr>
          <w:b/>
          <w:bCs/>
        </w:rPr>
        <w:t xml:space="preserve">Deep Linking is OFF</w:t>
      </w:r>
      <w:r>
        <w:t xml:space="preserve"> </w:t>
      </w:r>
      <w:r>
        <w:t xml:space="preserve">on this program. A product feed is a deep-linking mechanism, and the reason it was rejected then still holds.</w:t>
      </w:r>
    </w:p>
    <w:p>
      <w:pPr>
        <w:pStyle w:val="BodyText"/>
      </w:pPr>
      <w:r>
        <w:rPr>
          <w:b/>
          <w:bCs/>
        </w:rPr>
        <w:t xml:space="preserve">Conditions to revisit.</w:t>
      </w:r>
      <w:r>
        <w:t xml:space="preserve"> </w:t>
      </w:r>
      <w:r>
        <w:t xml:space="preserve">Either (a) add</w:t>
      </w:r>
      <w:r>
        <w:t xml:space="preserve"> </w:t>
      </w:r>
      <w:r>
        <w:rPr>
          <w:rStyle w:val="VerbatimChar"/>
        </w:rPr>
        <w:t xml:space="preserve">refid</w:t>
      </w:r>
      <w:r>
        <w:t xml:space="preserve"> </w:t>
      </w:r>
      <w:r>
        <w:t xml:space="preserve">capture to the Shopify product pages and carry it into the order, after which direct product links attribute correctly and deep linking becomes viable generally, or (b) leave it. With</w:t>
      </w:r>
      <w:r>
        <w:t xml:space="preserve"> </w:t>
      </w:r>
      <w:r>
        <w:rPr>
          <w:b/>
          <w:bCs/>
        </w:rPr>
        <w:t xml:space="preserve">two SKUs</w:t>
      </w:r>
      <w:r>
        <w:t xml:space="preserve"> </w:t>
      </w:r>
      <w:r>
        <w:t xml:space="preserve">(</w:t>
      </w:r>
      <w:r>
        <w:rPr>
          <w:rStyle w:val="VerbatimChar"/>
        </w:rPr>
        <w:t xml:space="preserve">EN-UVB-020</w:t>
      </w:r>
      <w:r>
        <w:t xml:space="preserve"> </w:t>
      </w:r>
      <w:r>
        <w:t xml:space="preserve">and</w:t>
      </w:r>
      <w:r>
        <w:t xml:space="preserve"> </w:t>
      </w:r>
      <w:r>
        <w:rPr>
          <w:rStyle w:val="VerbatimChar"/>
        </w:rPr>
        <w:t xml:space="preserve">ENRG 011</w:t>
      </w:r>
      <w:r>
        <w:t xml:space="preserve">) a feed earns very little regardless; feeds pay off on large catalogs. Do NOT take the third option that suggests itself, pointing every feed</w:t>
      </w:r>
      <w:r>
        <w:t xml:space="preserve"> </w:t>
      </w:r>
      <w:r>
        <w:rPr>
          <w:rStyle w:val="VerbatimChar"/>
        </w:rPr>
        <w:t xml:space="preserve">LinkUrl</w:t>
      </w:r>
      <w:r>
        <w:t xml:space="preserve"> </w:t>
      </w:r>
      <w:r>
        <w:t xml:space="preserve">at a lead magnet. Publishers expect a product page, get a quiz, and it reads as bait-and-switch.</w:t>
      </w:r>
    </w:p>
    <w:p>
      <w:pPr>
        <w:pStyle w:val="BodyText"/>
      </w:pPr>
      <w:r>
        <w:rPr>
          <w:b/>
          <w:bCs/>
        </w:rPr>
        <w:t xml:space="preserve">If it is ever built:</w:t>
      </w:r>
      <w:r>
        <w:t xml:space="preserve"> </w:t>
      </w:r>
      <w:r>
        <w:t xml:space="preserve">FlexOffers accepts CSV or XML, requires</w:t>
      </w:r>
      <w:r>
        <w:t xml:space="preserve"> </w:t>
      </w:r>
      <w:r>
        <w:rPr>
          <w:rStyle w:val="VerbatimChar"/>
        </w:rPr>
        <w:t xml:space="preserve">AdvertiserId</w:t>
      </w:r>
      <w:r>
        <w:t xml:space="preserve">,</w:t>
      </w:r>
      <w:r>
        <w:t xml:space="preserve"> </w:t>
      </w:r>
      <w:r>
        <w:rPr>
          <w:rStyle w:val="VerbatimChar"/>
        </w:rPr>
        <w:t xml:space="preserve">Pid</w:t>
      </w:r>
      <w:r>
        <w:t xml:space="preserve">,</w:t>
      </w:r>
      <w:r>
        <w:t xml:space="preserve"> </w:t>
      </w:r>
      <w:r>
        <w:rPr>
          <w:rStyle w:val="VerbatimChar"/>
        </w:rPr>
        <w:t xml:space="preserve">Name</w:t>
      </w:r>
      <w:r>
        <w:t xml:space="preserve">,</w:t>
      </w:r>
      <w:r>
        <w:t xml:space="preserve"> </w:t>
      </w:r>
      <w:r>
        <w:rPr>
          <w:rStyle w:val="VerbatimChar"/>
        </w:rPr>
        <w:t xml:space="preserve">LinkUrl</w:t>
      </w:r>
      <w:r>
        <w:t xml:space="preserve">, and accepts the same CSV used for the website, so</w:t>
      </w:r>
      <w:r>
        <w:t xml:space="preserve"> </w:t>
      </w:r>
      <w:r>
        <w:rPr>
          <w:rStyle w:val="VerbatimChar"/>
        </w:rPr>
        <w:t xml:space="preserve">products_export_1.csv</w:t>
      </w:r>
      <w:r>
        <w:t xml:space="preserve"> </w:t>
      </w:r>
      <w:r>
        <w:t xml:space="preserve">is a starting point. The File Name convention is not in FlexOffers’ public docs; it is on the SPECIFICATIONS tab of that page.</w:t>
      </w:r>
    </w:p>
    <w:p>
      <w:pPr>
        <w:pStyle w:val="BodyText"/>
      </w:pP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One-line edit to re-sync: delete that sentence from Section 11 in Skill Studio.</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2026-08-18T18:55:17Z</dcterms:created>
  <dcterms:modified xsi:type="dcterms:W3CDTF">2026-08-18T18:55:17Z</dcterms:modified>
</cp:coreProperties>
</file>

<file path=docProps/custom.xml><?xml version="1.0" encoding="utf-8"?>
<Properties xmlns="http://schemas.openxmlformats.org/officeDocument/2006/custom-properties" xmlns:vt="http://schemas.openxmlformats.org/officeDocument/2006/docPropsVTypes"/>
</file>