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pPr>
        <w:pStyle w:val="BodyText"/>
      </w:pPr>
      <w:r>
        <w:rPr>
          <w:b/>
          <w:bCs/>
        </w:rPr>
        <w:t xml:space="preserve">If a person names a health condition, an injury, or a medication, stop and read section 16 before replying.</w:t>
      </w:r>
      <w:r>
        <w:t xml:space="preserve"> </w:t>
      </w:r>
      <w:r>
        <w:t xml:space="preserve">Never clear anyone for use, and never treat absence from the contraindication list as clearance.</w:t>
      </w:r>
    </w:p>
    <w:bookmarkStart w:id="19"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Users: 600+ (organic growth, zero paid advertising to date).</w:t>
      </w:r>
      <w:r>
        <w:t xml:space="preserve"> </w:t>
      </w:r>
      <w:r>
        <w:rPr>
          <w:b/>
          <w:bCs/>
        </w:rPr>
        <w:t xml:space="preserve">Say users, not customers.</w:t>
      </w:r>
      <w:r>
        <w:t xml:space="preserve"> </w:t>
      </w:r>
      <w:r>
        <w:t xml:space="preserve">A home unit supports up to six users, so the two are not interchangeable and “600+ customers” overstates unit sales. Use “600+ users” in all copy.</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(fractional CFO).</w:t>
      </w:r>
    </w:p>
    <w:p>
      <w:pPr>
        <w:pStyle w:val="Compact"/>
        <w:numPr>
          <w:ilvl w:val="0"/>
          <w:numId w:val="1001"/>
        </w:numPr>
      </w:pPr>
      <w:r>
        <w:t xml:space="preserve">Founder track record (verified, investor-facing): Scott Hansbury,</w:t>
      </w:r>
      <w:r>
        <w:t xml:space="preserve"> </w:t>
      </w:r>
      <w:r>
        <w:rPr>
          <w:b/>
          <w:bCs/>
        </w:rPr>
        <w:t xml:space="preserve">five exits from his previous eight startups totaling $500M+ in enterprise value, plus eleven M&amp;A transactions led, buy-side and sell-side, representing an additional $249M</w:t>
      </w:r>
      <w:r>
        <w:t xml:space="preserve"> </w:t>
      </w:r>
      <w:r>
        <w:t xml:space="preserve">(confirmed by Scott, 2026-08-25). Enyrgy is his ninth startup.</w:t>
      </w:r>
      <w:r>
        <w:t xml:space="preserve"> </w:t>
      </w:r>
      <w:r>
        <w:rPr>
          <w:b/>
          <w:bCs/>
        </w:rPr>
        <w:t xml:space="preserve">State the two figures separately and never combine them into a single total</w:t>
      </w:r>
      <w:r>
        <w:t xml:space="preserve">, since they describe different work: the $500M is exit value from companies he founded or helped build, the $249M is transaction value from deals he led. David Letourneau, scaled Alair Homes from 1 to 100+ locations, $750M+ in sales.</w:t>
      </w:r>
      <w:r>
        <w:t xml:space="preserve"> </w:t>
      </w:r>
      <w:r>
        <w:rPr>
          <w:b/>
          <w:bCs/>
        </w:rPr>
        <w:t xml:space="preserve">Brian Cameron, fractional CFO, is a former securities regulator</w:t>
      </w:r>
      <w:r>
        <w:t xml:space="preserve"> </w:t>
      </w:r>
      <w:r>
        <w:t xml:space="preserve">(confirmed by Scott, 2026-08-02). That background is a meaningful trust signal in investor conversations and is the kind of credential a serious investor may verify, so use it as stated and do not embellish it.</w:t>
      </w:r>
    </w:p>
    <w:p>
      <w:pPr>
        <w:pStyle w:val="Compact"/>
        <w:numPr>
          <w:ilvl w:val="0"/>
          <w:numId w:val="1001"/>
        </w:numPr>
      </w:pPr>
      <w:r>
        <w:t xml:space="preserve">Active OEM partner: Lumanova (Luma D Light).</w:t>
      </w:r>
    </w:p>
    <w:bookmarkEnd w:id="19"/>
    <w:bookmarkStart w:id="20"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 “Precision Vitamin D Wellness Platform,” “Primal Light Platform” 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 “light does five” 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nothing else delivers all three in 2 to 4 minutes with a dose calibrated to the individual and an automatic cutoff. Supplements deliver Vitamin D only. Sunlight needs about 60x more time plus cancer risk. Red light is a different mechanism entirely (90 percent of Enyrgy customers use both). Enyrgy is a new category.</w:t>
      </w:r>
      <w:r>
        <w:t xml:space="preserve"> </w:t>
      </w:r>
      <w:r>
        <w:rPr>
          <w:b/>
          <w:bCs/>
        </w:rPr>
        <w:t xml:space="preserve">Do not write the unqualified form</w:t>
      </w:r>
      <w:r>
        <w:t xml:space="preserve"> </w:t>
      </w:r>
      <w:r>
        <w:t xml:space="preserve">(“no other solution delivers all three”): a tanning bed does trigger all three pathways, badly and with no dosing control, so the unqualified claim is knockable down by one counterexample in front of the operators most likely to know it. The calibration-and-cutoff qualifier is what nothing else clears.</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20"/>
    <w:bookmarkStart w:id="21"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r>
        <w:t xml:space="preserve"> </w:t>
      </w:r>
      <w:r>
        <w:rPr>
          <w:b/>
          <w:bCs/>
        </w:rPr>
        <w:t xml:space="preserve">Operated manually today:</w:t>
      </w:r>
      <w:r>
        <w:t xml:space="preserve"> </w:t>
      </w:r>
      <w:r>
        <w:t xml:space="preserve">a customer requests it and a custom Shopify discount code specific to that user is created by hand. Automation waits on the built-in loyalty program in the next app version, but the offer itself is live and can be quoted.</w:t>
      </w:r>
    </w:p>
    <w:p>
      <w:pPr>
        <w:pStyle w:val="Compact"/>
        <w:numPr>
          <w:ilvl w:val="0"/>
          <w:numId w:val="1003"/>
        </w:numPr>
      </w:pPr>
      <w:r>
        <w:t xml:space="preserve">Monitored inbound address:</w:t>
      </w:r>
      <w:r>
        <w:t xml:space="preserve"> </w:t>
      </w:r>
      <w:r>
        <w:rPr>
          <w:b/>
          <w:bCs/>
        </w:rPr>
        <w:t xml:space="preserve">contact@enyrgy.com</w:t>
      </w:r>
      <w:r>
        <w:t xml:space="preserve">, used across the funnel and monitored. Safe to give out.</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rented monthly, or purchased with HSA/FSA funds through Truemed, so it can fit a monthly budget instead of a lump sum. Financing and rental are both real, offered options; specific rates and terms are not yet in the KB, so confirm with the KB Manager before quoting any figure.</w:t>
      </w:r>
      <w:r>
        <w:t xml:space="preserve"> </w:t>
      </w:r>
      <w:r>
        <w:rPr>
          <w:b/>
          <w:bCs/>
        </w:rPr>
        <w:t xml:space="preserve">HSA/FSA (approved August 2026):</w:t>
      </w:r>
      <w:r>
        <w:t xml:space="preserve"> </w:t>
      </w:r>
      <w:r>
        <w:t xml:space="preserve">the only authorized phrasing is “HSA/FSA eligible through Truemed”. Never explain eligibility in condition-or-treatment terms and never describe the Letter of Medical Necessity. That framing is prohibited regardless of what Truemed’s own copy blocks say.</w:t>
      </w:r>
      <w:r>
        <w:t xml:space="preserve"> </w:t>
      </w:r>
      <w:r>
        <w:rPr>
          <w:b/>
          <w:bCs/>
        </w:rPr>
        <w:t xml:space="preserve">Eligibility covers the Consumer Unit only. The wall mount is excluded</w:t>
      </w:r>
      <w:r>
        <w:t xml:space="preserve">, so never imply cart-wide eligibility. The commercial unit is out of scope entirely: a facility purchase is a business expense, not a personal medical one.</w:t>
      </w:r>
      <w:r>
        <w:t xml:space="preserve"> </w:t>
      </w:r>
      <w:r>
        <w:rPr>
          <w:b/>
          <w:bCs/>
        </w:rPr>
        <w:t xml:space="preserve">Facility and commercial, confirmed by Truemed August 2026. The test is who the buyer of record is:</w:t>
      </w:r>
    </w:p>
    <w:p>
      <w:pPr>
        <w:pStyle w:val="Compact"/>
        <w:numPr>
          <w:ilvl w:val="1"/>
          <w:numId w:val="1004"/>
        </w:numPr>
      </w:pPr>
      <w:r>
        <w:rPr>
          <w:b/>
          <w:bCs/>
        </w:rPr>
        <w:t xml:space="preserve">NOT eligible:</w:t>
      </w:r>
      <w:r>
        <w:t xml:space="preserve"> </w:t>
      </w:r>
      <w:r>
        <w:t xml:space="preserve">a facility buying units for its business, and any membership or session fees that include Enyrgy access. Those are business expenses, or a membership, not a personal medical purchase. This is what Truemed ruled out.</w:t>
      </w:r>
    </w:p>
    <w:p>
      <w:pPr>
        <w:pStyle w:val="Compact"/>
        <w:numPr>
          <w:ilvl w:val="1"/>
          <w:numId w:val="1004"/>
        </w:numPr>
      </w:pPr>
      <w:r>
        <w:rPr>
          <w:b/>
          <w:bCs/>
        </w:rPr>
        <w:t xml:space="preserve">ELIGIBLE:</w:t>
      </w:r>
      <w:r>
        <w:t xml:space="preserve"> </w:t>
      </w:r>
      <w:r>
        <w:t xml:space="preserve">an individual buying their own Consumer Unit directly at</w:t>
      </w:r>
      <w:r>
        <w:t xml:space="preserve"> </w:t>
      </w:r>
      <w:r>
        <w:rPr>
          <w:rStyle w:val="VerbatimChar"/>
        </w:rPr>
        <w:t xml:space="preserve">shop.enyrgy.com</w:t>
      </w:r>
      <w:r>
        <w:t xml:space="preserve">,</w:t>
      </w:r>
      <w:r>
        <w:t xml:space="preserve"> </w:t>
      </w:r>
      <w:r>
        <w:rPr>
          <w:b/>
          <w:bCs/>
        </w:rPr>
        <w:t xml:space="preserve">including when they arrive through a facility’s unique referral link</w:t>
      </w:r>
      <w:r>
        <w:t xml:space="preserve">. The facility earns commission on that sale but is not the purchaser; the transaction is consumer to Enyrgy, which makes it the same direct consumer purchase as any other order. A facility may tell its members this.</w:t>
      </w:r>
    </w:p>
    <w:p>
      <w:pPr>
        <w:pStyle w:val="Compact"/>
        <w:numPr>
          <w:ilvl w:val="1"/>
          <w:numId w:val="1004"/>
        </w:numPr>
      </w:pPr>
      <w:r>
        <w:t xml:space="preserve">Never suggest routing a facility’s own purchase through an individual to obtain eligibility. The distinction is whose purchase it is, not which link was used.</w:t>
      </w:r>
    </w:p>
    <w:p>
      <w:pPr>
        <w:pStyle w:val="Compact"/>
        <w:numPr>
          <w:ilvl w:val="0"/>
          <w:numId w:val="1003"/>
        </w:numPr>
      </w:pPr>
      <w:r>
        <w:t xml:space="preserve">Commercial unit footprint: the device requires approximately</w:t>
      </w:r>
      <w:r>
        <w:t xml:space="preserve"> </w:t>
      </w:r>
      <w:r>
        <w:rPr>
          <w:b/>
          <w:bCs/>
        </w:rPr>
        <w:t xml:space="preserve">4 feet by 4 feet of floor space</w:t>
      </w:r>
      <w:r>
        <w:t xml:space="preserve">. Space is usually the first practical objection a facility raises, so answer it directly. It does not need a dedicated room; facilities commonly site it in a hallway or an alcove where clients can take a session while waiting on another modality.</w:t>
      </w:r>
    </w:p>
    <w:p>
      <w:pPr>
        <w:pStyle w:val="Compact"/>
        <w:numPr>
          <w:ilvl w:val="0"/>
          <w:numId w:val="1003"/>
        </w:numPr>
      </w:pPr>
      <w:r>
        <w:t xml:space="preserve">Manufacturing and lead times: units are built in Phoenix in limited batches, which is why consumer copy refers to limited batches and to ship times running a few weeks.</w:t>
      </w:r>
      <w:r>
        <w:t xml:space="preserve"> </w:t>
      </w:r>
      <w:r>
        <w:rPr>
          <w:b/>
          <w:bCs/>
        </w:rPr>
        <w:t xml:space="preserve">Never quote a batch size or a specific lead time.</w:t>
      </w:r>
      <w:r>
        <w:t xml:space="preserve"> </w:t>
      </w:r>
      <w:r>
        <w:t xml:space="preserve">Both move with funding and production capacity, so any figure written down would keep being stated confidently after it stopped being true. “Limited batches” holds at any batch size and is the approved phrasing. Escalate lead-time questions to Scott.</w:t>
      </w:r>
    </w:p>
    <w:p>
      <w:pPr>
        <w:pStyle w:val="Compact"/>
        <w:numPr>
          <w:ilvl w:val="0"/>
          <w:numId w:val="1003"/>
        </w:numPr>
      </w:pPr>
      <w:r>
        <w:t xml:space="preserve">OEM white-label (Lumanova / Luma D Light): same MSRP, wholesale arrangement.</w:t>
      </w:r>
    </w:p>
    <w:p>
      <w:pPr>
        <w:pStyle w:val="Compact"/>
        <w:numPr>
          <w:ilvl w:val="0"/>
          <w:numId w:val="1003"/>
        </w:numPr>
      </w:pPr>
      <w:r>
        <w:rPr>
          <w:b/>
          <w:bCs/>
        </w:rPr>
        <w:t xml:space="preserve">Center for New Medicine, bespoke terms. NOT general pricing, do not propagate (agreed August 2026).</w:t>
      </w:r>
      <w:r>
        <w:t xml:space="preserve"> </w:t>
      </w:r>
      <w:r>
        <w:t xml:space="preserve">CNM is a medical-grade facility and its proposal carries two terms that exist nowhere else: the modality priced at</w:t>
      </w:r>
      <w:r>
        <w:t xml:space="preserve"> </w:t>
      </w:r>
      <w:r>
        <w:rPr>
          <w:b/>
          <w:bCs/>
        </w:rPr>
        <w:t xml:space="preserve">$25 a session or $100 a week</w:t>
      </w:r>
      <w:r>
        <w:t xml:space="preserve">, and a</w:t>
      </w:r>
      <w:r>
        <w:t xml:space="preserve"> </w:t>
      </w:r>
      <w:r>
        <w:rPr>
          <w:b/>
          <w:bCs/>
        </w:rPr>
        <w:t xml:space="preserve">50/50 revenue share on consumer units, roughly $1,500 per unit</w:t>
      </w:r>
      <w:r>
        <w:t xml:space="preserve">, with no inventory held by the facility.</w:t>
      </w:r>
      <w:r>
        <w:t xml:space="preserve"> </w:t>
      </w:r>
      <w:r>
        <w:rPr>
          <w:b/>
          <w:bCs/>
        </w:rPr>
        <w:t xml:space="preserve">$100 a week is about $433 a month, roughly 3.5x the top of the standard operator range below, and the 50/50 share is 2.5x the standard $600.</w:t>
      </w:r>
      <w:r>
        <w:t xml:space="preserve"> </w:t>
      </w:r>
      <w:r>
        <w:t xml:space="preserve">Both are one-off terms for a flagship account. When any other facility asks what operators charge, the answer is the $49 to $125 monthly range; when any other facility asks about reselling, the answer is the $600 figure.</w:t>
      </w:r>
      <w:r>
        <w:t xml:space="preserve"> </w:t>
      </w:r>
      <w:r>
        <w:rPr>
          <w:b/>
          <w:bCs/>
        </w:rPr>
        <w:t xml:space="preserve">A special deal becomes the standard the moment someone reads it as one.</w:t>
      </w:r>
    </w:p>
    <w:p>
      <w:pPr>
        <w:pStyle w:val="Compact"/>
        <w:numPr>
          <w:ilvl w:val="0"/>
          <w:numId w:val="1003"/>
        </w:numPr>
      </w:pPr>
      <w:r>
        <w:rPr>
          <w:b/>
          <w:bCs/>
        </w:rPr>
        <w:t xml:space="preserve">Take-home retail margin: approximately $600 per device</w:t>
      </w:r>
      <w:r>
        <w:t xml:space="preserve"> </w:t>
      </w:r>
      <w:r>
        <w:t xml:space="preserve">to a facility or shop reselling consumer units. Confirmed by Scott during the Facility Overview build. This is the second margin line quoted to commercial facilities, sitting on top of the in-clinic recurring revenue from the modality, and it is the figure a facility will hold Enyrgy to in a margin conversation.</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charge clients</w:t>
      </w:r>
      <w:r>
        <w:t xml:space="preserve"> </w:t>
      </w:r>
      <w:r>
        <w:rPr>
          <w:b/>
          <w:bCs/>
        </w:rPr>
        <w:t xml:space="preserve">$49 to $125 per month</w:t>
      </w:r>
      <w:r>
        <w:t xml:space="preserve"> </w:t>
      </w:r>
      <w:r>
        <w:t xml:space="preserve">for Enyrgy access.</w:t>
      </w:r>
      <w:r>
        <w:t xml:space="preserve"> </w:t>
      </w:r>
      <w:r>
        <w:rPr>
          <w:b/>
          <w:bCs/>
        </w:rPr>
        <w:t xml:space="preserve">The rate depends on location and local clientele</w:t>
      </w:r>
      <w:r>
        <w:t xml:space="preserv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 Revenue scales with active client count:</w:t>
      </w:r>
    </w:p>
    <w:p>
      <w:pPr>
        <w:pStyle w:val="Compact"/>
        <w:numPr>
          <w:ilvl w:val="1"/>
          <w:numId w:val="1005"/>
        </w:numPr>
      </w:pPr>
      <w:r>
        <w:t xml:space="preserve">At $49 per month: 25 clients is $1,225 per month ($14,700 per year); 50 clients is $2,450 per month ($29,400 per year); 100 clients is $4,900 per month ($58,800 per year). Against the $8,950 unit cost, payback at 50 clients is under 4 months.</w:t>
      </w:r>
    </w:p>
    <w:p>
      <w:pPr>
        <w:pStyle w:val="Compact"/>
        <w:numPr>
          <w:ilvl w:val="1"/>
          <w:numId w:val="1005"/>
        </w:numPr>
      </w:pPr>
      <w:r>
        <w:t xml:space="preserve">At $125 per month: 25 clients is $3,125 per month ($37,500 per year); 50 clients is $6,250 per month ($75,000 per year); 100 clients is $12,500 per month ($150,000 per year). Payback at 50 clients is about 6 weeks.</w:t>
      </w:r>
    </w:p>
    <w:p>
      <w:pPr>
        <w:pStyle w:val="Compact"/>
        <w:numPr>
          <w:ilvl w:val="0"/>
          <w:numId w:val="1003"/>
        </w:numPr>
      </w:pPr>
      <w:r>
        <w:t xml:space="preserve">Commercial delivery model: the market is moving away from per-modality add-on pricing toward</w:t>
      </w:r>
      <w:r>
        <w:t xml:space="preserve"> </w:t>
      </w:r>
      <w:r>
        <w:rPr>
          <w:b/>
          <w:bCs/>
        </w:rPr>
        <w:t xml:space="preserve">membership models</w:t>
      </w:r>
      <w:r>
        <w:t xml:space="preserve">. Enyrgy fits that shift and operators position it two ways: as a draw to bring in new members, and as an incentive to upgrade existing members into a higher tier. Where a facility runs</w:t>
      </w:r>
      <w:r>
        <w:t xml:space="preserve"> </w:t>
      </w:r>
      <w:r>
        <w:rPr>
          <w:b/>
          <w:bCs/>
        </w:rPr>
        <w:t xml:space="preserve">credit-based memberships</w:t>
      </w:r>
      <w:r>
        <w:t xml:space="preserve"> </w:t>
      </w:r>
      <w:r>
        <w:t xml:space="preserve">(members prepay for service credits), do NOT let Enyrgy be priced per session against credits: at 4 to 5 sessions a week the credit draw would consume an entire membership and crowd out the operator’s higher-margin services. Price it as a flat monthly add-on that sits outside credits, or include it in a top tier as the upgrade trigger. Enyrgy’s advantage in any membership model is that its marginal cost per session is near zero (no consumables, no practitioner, 2 to 4 minutes, app-run), unlike IV, NAD+, or practitioner-delivered services.</w:t>
      </w:r>
    </w:p>
    <w:bookmarkEnd w:id="21"/>
    <w:bookmarkStart w:id="23" w:name="clinical-and-credibility-data"/>
    <w:p>
      <w:pPr>
        <w:pStyle w:val="Heading2"/>
      </w:pPr>
      <w:r>
        <w:t xml:space="preserve">4. Clinical and credibility data</w:t>
      </w:r>
    </w:p>
    <w:p>
      <w:pPr>
        <w:pStyle w:val="Compact"/>
        <w:numPr>
          <w:ilvl w:val="0"/>
          <w:numId w:val="1006"/>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6"/>
        </w:numPr>
      </w:pPr>
      <w:r>
        <w:t xml:space="preserve">Clinical study design and limitations (always cite results with this context): small study, N = 5 healthy adults, 4 to 6 sessions per week, 12 weeks, no control group. Larger trials are in development. When citing the 111 percent or 100-percent-optimal figures, present them as a small uncontrolled study, not as a large or controlled trial.</w:t>
      </w:r>
    </w:p>
    <w:p>
      <w:pPr>
        <w:pStyle w:val="Compact"/>
        <w:numPr>
          <w:ilvl w:val="0"/>
          <w:numId w:val="1006"/>
        </w:numPr>
      </w:pPr>
      <w:r>
        <w:rPr>
          <w:b/>
          <w:bCs/>
        </w:rPr>
        <w:t xml:space="preserve">Never call it a pilot.</w:t>
      </w:r>
      <w:r>
        <w:t xml:space="preserve"> </w:t>
      </w:r>
      <w:r>
        <w:t xml:space="preserve">Use study, small study, or observational cohort. “Pilot” implies a pre-launch or beta program, and this study ran months after Enyrgy went to full production in the market. The word understates the product’s maturity while doing nothing to improve the honesty of the caveat, which “small, N = 5, no control group” already carries in full.</w:t>
      </w:r>
    </w:p>
    <w:p>
      <w:pPr>
        <w:pStyle w:val="Compact"/>
        <w:numPr>
          <w:ilvl w:val="0"/>
          <w:numId w:val="1006"/>
        </w:numPr>
      </w:pPr>
      <w:r>
        <w:rPr>
          <w:b/>
          <w:bCs/>
        </w:rPr>
        <w:t xml:space="preserve">Write “the five participants,” not “five participants.”</w:t>
      </w:r>
      <w:r>
        <w:t xml:space="preserve"> </w:t>
      </w:r>
      <w:r>
        <w:t xml:space="preserve">Without the article the sentence reads as though a larger cohort was studied and only five of them responded.</w:t>
      </w:r>
    </w:p>
    <w:p>
      <w:pPr>
        <w:pStyle w:val="Compact"/>
        <w:numPr>
          <w:ilvl w:val="0"/>
          <w:numId w:val="1006"/>
        </w:numPr>
      </w:pPr>
      <w:r>
        <w:t xml:space="preserve">Participant-level results (12-week study,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caveat as the averages.</w:t>
      </w:r>
    </w:p>
    <w:p>
      <w:pPr>
        <w:pStyle w:val="Compact"/>
        <w:numPr>
          <w:ilvl w:val="0"/>
          <w:numId w:val="1006"/>
        </w:numPr>
      </w:pPr>
      <w:r>
        <w:t xml:space="preserve">Efficiency: 2.4x more efficient than sunlight for Vitamin D synthesis; 2 to 4 minutes equals 2 to 4 hours of mid-day sun (about 60x).</w:t>
      </w:r>
    </w:p>
    <w:p>
      <w:pPr>
        <w:pStyle w:val="Compact"/>
        <w:numPr>
          <w:ilvl w:val="0"/>
          <w:numId w:val="1006"/>
        </w:numPr>
      </w:pPr>
      <w:r>
        <w:t xml:space="preserve">Safety:</w:t>
      </w:r>
      <w:r>
        <w:t xml:space="preserve"> </w:t>
      </w:r>
      <w:r>
        <w:rPr>
          <w:b/>
          <w:bCs/>
        </w:rPr>
        <w:t xml:space="preserve">the contraindication list and the rules for inbound health questions are in section 16, and they govern any conversation where a person names a condition, an injury, or a medication.</w:t>
      </w:r>
      <w:r>
        <w:t xml:space="preserve"> </w:t>
      </w:r>
      <w:r>
        <w:t xml:space="preserve">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 “2 to 4 minutes a day” is accurate.</w:t>
      </w:r>
    </w:p>
    <w:p>
      <w:pPr>
        <w:pStyle w:val="Compact"/>
        <w:numPr>
          <w:ilvl w:val="0"/>
          <w:numId w:val="1006"/>
        </w:numPr>
      </w:pPr>
      <w:r>
        <w:t xml:space="preserve">Return rate under 1 percent, roughly 5 to 10x better than the industry average.</w:t>
      </w:r>
    </w:p>
    <w:bookmarkStart w:id="22"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 “research shows,” attribute to the study, and do not claim the Enyrgy device itself was tested for these outcomes. Keep it non-medical (Enyrgy is a wellness device): describe how vitamin D supports bone and recovery; never “treat”, “heal”, “cure”, or “fix”. Do not overstate (“proves”, “definitively superior”, “conclusive”); the studies support the mechanism, they are not device trials. Full compilation on file (Research/Bone Health).</w:t>
      </w:r>
    </w:p>
    <w:p>
      <w:pPr>
        <w:pStyle w:val="BodyText"/>
      </w:pPr>
      <w:r>
        <w:t xml:space="preserve">Approved figures with sources: -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 - Performance threshold: peak neuromuscular performance is associated with 25(OH)D around 50 ng/mL (Shuler et al., Sports Health 2012). - UVB vs pills: narrowband UVB three times per week raised vitamin D more effectively than 1600 IU per day of oral D3 in a randomized trial (Bogh et al., British Journal of Dermatology 2012). - Source share and half-life: UVB contributes roughly 80 to 90 percent of circulating 25(OH)D (diet and supplements 10 to 20 percent), with a longer half-life, about 21 to 30 days (Owens et al., Sports Medicine 2018; Holick et al., JBMR 2007). -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 - Fracture healing: natural vitamin D synthesis supports bone callus formation and mineralization at fracture sites (Fischer et al., ECM 2018). - Dosing reference used in the research: roughly 10 to 15 minutes of midday sun, three times per week. -</w:t>
      </w:r>
      <w:r>
        <w:t xml:space="preserve"> </w:t>
      </w:r>
      <w:r>
        <w:rPr>
          <w:b/>
          <w:bCs/>
        </w:rPr>
        <w:t xml:space="preserve">Prevalence, the citable number. This supersedes the previously unsourced “77 percent” figure.</w:t>
      </w:r>
      <w:r>
        <w:t xml:space="preserve"> </w:t>
      </w:r>
      <w:r>
        <w:t xml:space="preserve">In a 2023 pooled analysis of 308 population-based studies across 81 countries and 7.9 million participants aged 1 and over,</w:t>
      </w:r>
      <w:r>
        <w:t xml:space="preserve"> </w:t>
      </w:r>
      <w:r>
        <w:rPr>
          <w:b/>
          <w:bCs/>
        </w:rPr>
        <w:t xml:space="preserve">76.6 percent had serum 25(OH)D below 30 ng/mL</w:t>
      </w:r>
      <w:r>
        <w:t xml:space="preserve"> </w:t>
      </w:r>
      <w:r>
        <w:t xml:space="preserve">(75 nmol/L; 95% CrI 74.0 to 79.1). Also reported: 47.9 percent below 20 ng/mL and 15.7 percent below 12 ng/mL. (Cui A, Zhang T, Xiao P, Fan Z, Wang H, Zhuang Y. “Global and regional prevalence of vitamin D deficiency in population-based studies from 2000 to 2022.”</w:t>
      </w:r>
      <w:r>
        <w:t xml:space="preserve"> </w:t>
      </w:r>
      <w:r>
        <w:rPr>
          <w:i/>
          <w:iCs/>
        </w:rPr>
        <w:t xml:space="preserve">Frontiers in Nutrition</w:t>
      </w:r>
      <w:r>
        <w:t xml:space="preserve"> </w:t>
      </w:r>
      <w:r>
        <w:t xml:space="preserve">2023; PMC10064807, free to read.)</w:t>
      </w:r>
      <w:r>
        <w:t xml:space="preserve"> </w:t>
      </w:r>
      <w:r>
        <w:rPr>
          <w:b/>
          <w:bCs/>
        </w:rPr>
        <w:t xml:space="preserve">Three rules for stating it.</w:t>
      </w:r>
      <w:r>
        <w:t xml:space="preserve"> </w:t>
      </w:r>
      <w:r>
        <w:t xml:space="preserve">(1) Below 30 ng/mL is</w:t>
      </w:r>
      <w:r>
        <w:t xml:space="preserve"> </w:t>
      </w:r>
      <w:r>
        <w:rPr>
          <w:b/>
          <w:bCs/>
        </w:rPr>
        <w:t xml:space="preserve">insufficiency or low vitamin D status</w:t>
      </w:r>
      <w:r>
        <w:t xml:space="preserve">, not universally accepted “deficiency”. Never call 76.6 percent a deficiency rate. (2) The population is</w:t>
      </w:r>
      <w:r>
        <w:t xml:space="preserve"> </w:t>
      </w:r>
      <w:r>
        <w:rPr>
          <w:b/>
          <w:bCs/>
        </w:rPr>
        <w:t xml:space="preserve">global and aged 1 and over</w:t>
      </w:r>
      <w:r>
        <w:t xml:space="preserve">, so say “people”, never “adults”, never “Americans”, never “indoor”. (3) The authors report high heterogeneity between pooled studies; do not present the figure as a precise national rate.</w:t>
      </w:r>
      <w:r>
        <w:t xml:space="preserve"> </w:t>
      </w:r>
      <w:r>
        <w:rPr>
          <w:b/>
          <w:bCs/>
        </w:rPr>
        <w:t xml:space="preserve">Approved short forms:</w:t>
      </w:r>
      <w:r>
        <w:t xml:space="preserve"> </w:t>
      </w:r>
      <w:r>
        <w:t xml:space="preserve">“about three-quarters of people have vitamin D below 30 ng/mL” or “76.6 percent of people worldwide are below 30 ng/mL”. -</w:t>
      </w:r>
      <w:r>
        <w:t xml:space="preserve"> </w:t>
      </w:r>
      <w:r>
        <w:rPr>
          <w:b/>
          <w:bCs/>
        </w:rPr>
        <w:t xml:space="preserve">Sunny climates do not prevent it (use this for the sun objection):</w:t>
      </w:r>
      <w:r>
        <w:t xml:space="preserve"> </w:t>
      </w:r>
      <w:r>
        <w:t xml:space="preserve">low vitamin D status is a problem even in countries with sun exposure all year round (Palacios C, Gonzalez L. “Is vitamin D deficiency a major global public health problem?”</w:t>
      </w:r>
      <w:r>
        <w:t xml:space="preserve"> </w:t>
      </w:r>
      <w:r>
        <w:rPr>
          <w:i/>
          <w:iCs/>
        </w:rPr>
        <w:t xml:space="preserve">J Steroid Biochem Mol Biol</w:t>
      </w:r>
      <w:r>
        <w:t xml:space="preserve"> </w:t>
      </w:r>
      <w:r>
        <w:t xml:space="preserve">2014; PMC4018438, free to read). The paper’s own Highlights state it verbatim:</w:t>
      </w:r>
      <w:r>
        <w:t xml:space="preserve"> </w:t>
      </w:r>
      <w:r>
        <w:rPr>
          <w:b/>
          <w:bCs/>
        </w:rPr>
        <w:t xml:space="preserve">“Low vitamin D status is a problem even in countries with sun exposure all year round.”</w:t>
      </w:r>
      <w:r>
        <w:t xml:space="preserve"> </w:t>
      </w:r>
      <w:r>
        <w:t xml:space="preserve">Quote that line as written.</w:t>
      </w:r>
      <w:r>
        <w:t xml:space="preserve"> </w:t>
      </w:r>
      <w:r>
        <w:rPr>
          <w:b/>
          <w:bCs/>
        </w:rPr>
        <w:t xml:space="preserve">Three limits.</w:t>
      </w:r>
      <w:r>
        <w:t xml:space="preserve"> </w:t>
      </w:r>
      <w:r>
        <w:t xml:space="preserve">(1) It reports prevalence by region, age group and threshold and gives no single headline figure, so it CANNOT source the 77 percent. (2) It says nothing about UVB devices or phototherapy, so never present it as support for the platform itself, only for the problem. (3) 2014 data: fine for establishing that the phenomenon exists, not for current prevalence.</w:t>
      </w:r>
    </w:p>
    <w:bookmarkEnd w:id="22"/>
    <w:bookmarkEnd w:id="23"/>
    <w:bookmarkStart w:id="24"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7"/>
        </w:numPr>
      </w:pPr>
      <w:r>
        <w:rPr>
          <w:b/>
          <w:bCs/>
        </w:rPr>
        <w:t xml:space="preserve">Dr. Bruce Hollis:</w:t>
      </w:r>
      <w:r>
        <w:t xml:space="preserve"> </w:t>
      </w:r>
      <w:r>
        <w:t xml:space="preserve">over 70,000 citations, widely regarded as the Godfather of Vitamin D Research.</w:t>
      </w:r>
      <w:r>
        <w:t xml:space="preserve"> </w:t>
      </w:r>
      <w:r>
        <w:rPr>
          <w:b/>
          <w:bCs/>
        </w:rPr>
        <w:t xml:space="preserve">Over forty years on vitamin D research</w:t>
      </w:r>
      <w:r>
        <w:t xml:space="preserve">, much of it on the difference between oral supplementation and UVB-synthesized vitamin D. He has reviewed and endorsed the Enyrgy platform.</w:t>
      </w:r>
    </w:p>
    <w:p>
      <w:pPr>
        <w:pStyle w:val="Compact"/>
        <w:numPr>
          <w:ilvl w:val="0"/>
          <w:numId w:val="1007"/>
        </w:numPr>
      </w:pPr>
      <w:r>
        <w:rPr>
          <w:b/>
          <w:bCs/>
        </w:rPr>
        <w:t xml:space="preserve">Dr. Samantha Kimball:</w:t>
      </w:r>
      <w:r>
        <w:t xml:space="preserve"> </w:t>
      </w:r>
      <w:r>
        <w:t xml:space="preserve">designed the MED protocol that powers every session; a leading researcher in UV therapy safety.</w:t>
      </w:r>
      <w:r>
        <w:t xml:space="preserve"> </w:t>
      </w:r>
      <w:r>
        <w:rPr>
          <w:b/>
          <w:bCs/>
        </w:rPr>
        <w:t xml:space="preserve">Over 100 peer-reviewed papers and two decades in the field.</w:t>
      </w:r>
    </w:p>
    <w:p>
      <w:pPr>
        <w:pStyle w:val="Compact"/>
        <w:numPr>
          <w:ilvl w:val="0"/>
          <w:numId w:val="1007"/>
        </w:numPr>
      </w:pPr>
      <w:r>
        <w:rPr>
          <w:b/>
          <w:bCs/>
        </w:rPr>
        <w:t xml:space="preserve">Dr. William Grant:</w:t>
      </w:r>
      <w:r>
        <w:t xml:space="preserve"> </w:t>
      </w:r>
      <w:r>
        <w:t xml:space="preserve">NASA UVB researcher and pioneer in phototherapy science.</w:t>
      </w:r>
      <w:r>
        <w:t xml:space="preserve"> </w:t>
      </w:r>
      <w:r>
        <w:rPr>
          <w:b/>
          <w:bCs/>
        </w:rPr>
        <w:t xml:space="preserve">More than 350 peer-reviewed papers</w:t>
      </w:r>
      <w:r>
        <w:t xml:space="preserve"> </w:t>
      </w:r>
      <w:r>
        <w:t xml:space="preserve">on vitamin D, sunlight and health outcomes, using NASA UVB satellite data to map how sunlight exposure tracks with health across populations.</w:t>
      </w:r>
    </w:p>
    <w:p>
      <w:pPr>
        <w:pStyle w:val="FirstParagraph"/>
      </w:pPr>
      <w:r>
        <w:t xml:space="preserve">Do not paraphrase or embellish an advisor’s credentials beyond these approved bios. The publication and tenure figures were confirmed by Scott on 2026-08-02 and added because they were already live in WF-17 Long-Term Nurture touch 6, where the specificity is what makes the email work. Use the shorter form where space is tight; use the fuller form when the job is establishing that real researchers built the protocol. The short approved phrasing for objection handling remains “advisory board includes Dr. Bruce Hollis.” Compliance note: any public claim that an advisor “reviewed and endorsed” the platform must have the advisor’s documented consent on file, per FTC endorsement rules.</w:t>
      </w:r>
    </w:p>
    <w:bookmarkEnd w:id="24"/>
    <w:bookmarkStart w:id="25" w:name="X2416962bbe798b4d07d64a796f71649a000b8ee"/>
    <w:p>
      <w:pPr>
        <w:pStyle w:val="Heading2"/>
      </w:pPr>
      <w:r>
        <w:t xml:space="preserve">6. Approved talking points (voiced, use as written)</w:t>
      </w:r>
    </w:p>
    <w:p>
      <w:pPr>
        <w:pStyle w:val="Compact"/>
        <w:numPr>
          <w:ilvl w:val="0"/>
          <w:numId w:val="1008"/>
        </w:numPr>
      </w:pPr>
      <w:r>
        <w:t xml:space="preserve">Every human body was meant to thrive on sunlight. We just made it safe, personalized and controllable. (Standard Description, do not alter.)</w:t>
      </w:r>
    </w:p>
    <w:p>
      <w:pPr>
        <w:pStyle w:val="Compact"/>
        <w:numPr>
          <w:ilvl w:val="0"/>
          <w:numId w:val="1008"/>
        </w:numPr>
      </w:pPr>
      <w:r>
        <w:t xml:space="preserve">Get your body responding to sunlight the way it was meant to.</w:t>
      </w:r>
    </w:p>
    <w:p>
      <w:pPr>
        <w:pStyle w:val="Compact"/>
        <w:numPr>
          <w:ilvl w:val="0"/>
          <w:numId w:val="1008"/>
        </w:numPr>
      </w:pPr>
      <w:r>
        <w:t xml:space="preserve">Three biological pathways, switched on in 2 to 4 minutes.</w:t>
      </w:r>
    </w:p>
    <w:p>
      <w:pPr>
        <w:pStyle w:val="Compact"/>
        <w:numPr>
          <w:ilvl w:val="0"/>
          <w:numId w:val="1008"/>
        </w:numPr>
      </w:pPr>
      <w:r>
        <w:t xml:space="preserve">25,000+ sessions with zero adverse events.</w:t>
      </w:r>
    </w:p>
    <w:p>
      <w:pPr>
        <w:pStyle w:val="Compact"/>
        <w:numPr>
          <w:ilvl w:val="0"/>
          <w:numId w:val="1008"/>
        </w:numPr>
      </w:pPr>
      <w:r>
        <w:t xml:space="preserve">In our clinical study, 100 percent of participants reached optimal Vitamin D levels.</w:t>
      </w:r>
    </w:p>
    <w:p>
      <w:pPr>
        <w:pStyle w:val="Compact"/>
        <w:numPr>
          <w:ilvl w:val="0"/>
          <w:numId w:val="1008"/>
        </w:numPr>
      </w:pPr>
      <w:r>
        <w:t xml:space="preserve">2.4x more efficient than sunlight for Vitamin D synthesis.</w:t>
      </w:r>
    </w:p>
    <w:p>
      <w:pPr>
        <w:pStyle w:val="Compact"/>
        <w:numPr>
          <w:ilvl w:val="0"/>
          <w:numId w:val="1008"/>
        </w:numPr>
      </w:pPr>
      <w:r>
        <w:t xml:space="preserve">The app determines your skin type, sets your dose, and ends the session for you.</w:t>
      </w:r>
    </w:p>
    <w:p>
      <w:pPr>
        <w:pStyle w:val="Compact"/>
        <w:numPr>
          <w:ilvl w:val="0"/>
          <w:numId w:val="1008"/>
        </w:numPr>
      </w:pPr>
      <w:r>
        <w:t xml:space="preserve">Under 1 percent of people send it back. The industry lives at 5 to 10 percent.</w:t>
      </w:r>
    </w:p>
    <w:p>
      <w:pPr>
        <w:pStyle w:val="Compact"/>
        <w:numPr>
          <w:ilvl w:val="0"/>
          <w:numId w:val="1008"/>
        </w:numPr>
      </w:pPr>
      <w:r>
        <w:t xml:space="preserve">Built in Phoenix, Arizona. Made in USA.</w:t>
      </w:r>
    </w:p>
    <w:p>
      <w:pPr>
        <w:pStyle w:val="Compact"/>
        <w:numPr>
          <w:ilvl w:val="0"/>
          <w:numId w:val="1008"/>
        </w:numPr>
      </w:pPr>
      <w:r>
        <w:t xml:space="preserve">600+ users, 5 countries, zero paid ads.</w:t>
      </w:r>
    </w:p>
    <w:p>
      <w:pPr>
        <w:pStyle w:val="Compact"/>
        <w:numPr>
          <w:ilvl w:val="0"/>
          <w:numId w:val="1008"/>
        </w:numPr>
      </w:pPr>
      <w:r>
        <w:t xml:space="preserve">Lumanova picked our technology to launch their own light, Luma D Light.</w:t>
      </w:r>
    </w:p>
    <w:p>
      <w:pPr>
        <w:pStyle w:val="Compact"/>
        <w:numPr>
          <w:ilvl w:val="0"/>
          <w:numId w:val="1008"/>
        </w:numPr>
      </w:pPr>
      <w:r>
        <w:t xml:space="preserve">$2,995 to own it at home. $8,950 for the commercial unit.</w:t>
      </w:r>
    </w:p>
    <w:p>
      <w:pPr>
        <w:pStyle w:val="Compact"/>
        <w:numPr>
          <w:ilvl w:val="0"/>
          <w:numId w:val="1008"/>
        </w:numPr>
      </w:pPr>
      <w:r>
        <w:t xml:space="preserve">That is $2.30 a session at 5 a week over 5 years.</w:t>
      </w:r>
    </w:p>
    <w:p>
      <w:pPr>
        <w:pStyle w:val="Compact"/>
        <w:numPr>
          <w:ilvl w:val="0"/>
          <w:numId w:val="1008"/>
        </w:numPr>
      </w:pPr>
      <w:r>
        <w:t xml:space="preserve">90 percent of our customers run red light too. Different jobs, same routine.</w:t>
      </w:r>
    </w:p>
    <w:p>
      <w:pPr>
        <w:pStyle w:val="Compact"/>
        <w:numPr>
          <w:ilvl w:val="0"/>
          <w:numId w:val="1008"/>
        </w:numPr>
      </w:pPr>
      <w:r>
        <w:t xml:space="preserve">Sunlight. Evolved.</w:t>
      </w:r>
    </w:p>
    <w:bookmarkEnd w:id="25"/>
    <w:bookmarkStart w:id="26" w:name="objection-scripts-voiced"/>
    <w:p>
      <w:pPr>
        <w:pStyle w:val="Heading2"/>
      </w:pPr>
      <w:r>
        <w:t xml:space="preserve">7. Objection scripts (voiced)</w:t>
      </w:r>
    </w:p>
    <w:p>
      <w:pPr>
        <w:pStyle w:val="FirstParagraph"/>
      </w:pPr>
      <w:r>
        <w:rPr>
          <w:b/>
          <w:bCs/>
        </w:rPr>
        <w:t xml:space="preserve">Consumer</w:t>
      </w:r>
    </w:p>
    <w:p>
      <w:pPr>
        <w:pStyle w:val="Compact"/>
        <w:numPr>
          <w:ilvl w:val="0"/>
          <w:numId w:val="1009"/>
        </w:numPr>
      </w:pPr>
      <w:r>
        <w:t xml:space="preserve">Is this safe? Fair worry. Sunlight is about 95 percent UVA. We flipped it: over 90 percent UVB, under 10 percent UVA. The app determines your skin type, sets your personal dose, and ends the session for you. 25,000+ sessions in, zero burns, zero adverse events.</w:t>
      </w:r>
    </w:p>
    <w:p>
      <w:pPr>
        <w:pStyle w:val="Compact"/>
        <w:numPr>
          <w:ilvl w:val="0"/>
          <w:numId w:val="1009"/>
        </w:numPr>
      </w:pPr>
      <w:r>
        <w:t xml:space="preserve">I already take supplements. Supplements are one lane, Vitamin D, and only if your body responds to it. In research clinical trials, about one in four participants were low responders to vitamin D supplementation. Enyrgy opens all three lanes, Vitamin D, nitric oxide, and serotonin, in 2 to 4 minutes.</w:t>
      </w:r>
    </w:p>
    <w:p>
      <w:pPr>
        <w:pStyle w:val="Compact"/>
        <w:numPr>
          <w:ilvl w:val="0"/>
          <w:numId w:val="1009"/>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9"/>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9"/>
        </w:numPr>
      </w:pPr>
      <w:r>
        <w:t xml:space="preserve">We get plenty of sun here. Fair assumption, and testing settles it faster than arguing. Indoor work, sunscreen and window glass all block UVB at any latitude. A 2014 global review in the Journal of Steroid Biochemistry and Molecular Biology concluded that low vitamin D status is a problem even in countries with sun exposure all year round.</w:t>
      </w:r>
    </w:p>
    <w:p>
      <w:pPr>
        <w:pStyle w:val="Compact"/>
        <w:numPr>
          <w:ilvl w:val="0"/>
          <w:numId w:val="1009"/>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10"/>
        </w:numPr>
      </w:pPr>
      <w:r>
        <w:t xml:space="preserve">We already have red light. Ninety percent of our customers use both. They do different biological jobs, so this sits alongside what you already offer instead of replacing it.</w:t>
      </w:r>
    </w:p>
    <w:p>
      <w:pPr>
        <w:pStyle w:val="Compact"/>
        <w:numPr>
          <w:ilvl w:val="0"/>
          <w:numId w:val="1010"/>
        </w:numPr>
      </w:pPr>
      <w:r>
        <w:t xml:space="preserve">Would clients pay? About three-quarters of people have vitamin D below 30 ng/mL, so the demand is already in your book. Operators are charging $49 to $125 a month for it, depending on their market and clientele.</w:t>
      </w:r>
    </w:p>
    <w:p>
      <w:pPr>
        <w:pStyle w:val="Compact"/>
        <w:numPr>
          <w:ilvl w:val="0"/>
          <w:numId w:val="1010"/>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11"/>
        </w:numPr>
      </w:pPr>
      <w:r>
        <w:t xml:space="preserve">Where is the equity upside? There is a conversion option at a 20 percent discount to an independent SEC valuation.</w:t>
      </w:r>
    </w:p>
    <w:p>
      <w:pPr>
        <w:pStyle w:val="Compact"/>
        <w:numPr>
          <w:ilvl w:val="0"/>
          <w:numId w:val="1011"/>
        </w:numPr>
      </w:pPr>
      <w:r>
        <w:t xml:space="preserve">Is this a crowded market? It looks crowded until you line up the mechanisms. Nobody else delivers all three pathways. We are a category of one.</w:t>
      </w:r>
    </w:p>
    <w:p>
      <w:pPr>
        <w:pStyle w:val="Compact"/>
        <w:numPr>
          <w:ilvl w:val="0"/>
          <w:numId w:val="1011"/>
        </w:numPr>
      </w:pPr>
      <w:r>
        <w:t xml:space="preserve">What is the exit? A strategic acquisition in the $100 to 150M range within 5 years. Natural buyers look like Philips, Apple Health, Peloton, AG1, or LVMH.</w:t>
      </w:r>
    </w:p>
    <w:bookmarkEnd w:id="26"/>
    <w:bookmarkStart w:id="27" w:name="claim-precision-corrected"/>
    <w:p>
      <w:pPr>
        <w:pStyle w:val="Heading2"/>
      </w:pPr>
      <w:r>
        <w:t xml:space="preserve">8. Claim precision (corrected)</w:t>
      </w:r>
    </w:p>
    <w:p>
      <w:pPr>
        <w:pStyle w:val="FirstParagraph"/>
      </w:pPr>
      <w:r>
        <w:t xml:space="preserve">The “one in four” statistic is about RESPONSE, not absorption. Low responders absorb the pill fine; their cells do less with it. Approved wording only:</w:t>
      </w:r>
      <w:r>
        <w:t xml:space="preserve"> </w:t>
      </w:r>
      <w:r>
        <w:rPr>
          <w:b/>
          <w:bCs/>
        </w:rPr>
        <w:t xml:space="preserve">“in research clinical trials, about one in four participants were low responders to vitamin D supplementation”</w:t>
      </w:r>
      <w:r>
        <w:t xml:space="preserve">. Do NOT write “in these trials” or “in the trials” in copy: lifted out of this KB the citation stays behind and the phrase reads as though Enyrgy ran them. Investor-facing copy may name them as the Carlberg trials. (Carlberg, VitDmet and VitDbol trials, Nutrients 2023, 15(15):3382). Never say “one in four cannot absorb,” “supplements fail one in four,” or “one in four Americans.” This supersedes the older phrasing in Implementation Guide v3.9 Section 22 (Session 8 correction). Every claim must be exactly as verifiable as stated: no superlatives, no inflation, no unverifiable characterizations.</w:t>
      </w:r>
    </w:p>
    <w:bookmarkEnd w:id="27"/>
    <w:bookmarkStart w:id="28" w:name="brand-constants-locked"/>
    <w:p>
      <w:pPr>
        <w:pStyle w:val="Heading2"/>
      </w:pPr>
      <w:r>
        <w:t xml:space="preserve">9. Brand constants (locked)</w:t>
      </w:r>
    </w:p>
    <w:p>
      <w:pPr>
        <w:pStyle w:val="Compact"/>
        <w:numPr>
          <w:ilvl w:val="0"/>
          <w:numId w:val="1012"/>
        </w:numPr>
      </w:pPr>
      <w:r>
        <w:t xml:space="preserve">Accent: Sunrise Orange #E64C38 only. No violet, purple, or amber.</w:t>
      </w:r>
    </w:p>
    <w:p>
      <w:pPr>
        <w:pStyle w:val="Compact"/>
        <w:numPr>
          <w:ilvl w:val="0"/>
          <w:numId w:val="1012"/>
        </w:numPr>
      </w:pPr>
      <w:r>
        <w:t xml:space="preserve">Typography: Montserrat, all weights.</w:t>
      </w:r>
    </w:p>
    <w:p>
      <w:pPr>
        <w:pStyle w:val="Compact"/>
        <w:numPr>
          <w:ilvl w:val="0"/>
          <w:numId w:val="1012"/>
        </w:numPr>
      </w:pPr>
      <w:r>
        <w:t xml:space="preserve">Text: Deep Charcoal #1A1A1A. Panels: Warm Off-White #F7F4EE, Calm Beige #ECE4CF. Line #E2DBC9. Muted #6B6B66.</w:t>
      </w:r>
    </w:p>
    <w:p>
      <w:pPr>
        <w:pStyle w:val="Compact"/>
        <w:numPr>
          <w:ilvl w:val="0"/>
          <w:numId w:val="1012"/>
        </w:numPr>
      </w:pPr>
      <w:r>
        <w:t xml:space="preserve">Tagline: “Sunlight. Evolved.”</w:t>
      </w:r>
    </w:p>
    <w:p>
      <w:pPr>
        <w:pStyle w:val="Compact"/>
        <w:numPr>
          <w:ilvl w:val="0"/>
          <w:numId w:val="1012"/>
        </w:numPr>
      </w:pPr>
      <w:r>
        <w:t xml:space="preserve">Voice: peer-to-peer, founder-to-peer. No em-dashes ever; use a comma, period, or rewrite. No icons or decorative glyphs.</w:t>
      </w:r>
    </w:p>
    <w:p>
      <w:pPr>
        <w:pStyle w:val="Compact"/>
        <w:numPr>
          <w:ilvl w:val="0"/>
          <w:numId w:val="1012"/>
        </w:numPr>
      </w:pPr>
      <w:r>
        <w:t xml:space="preserve">Age minimum for all audiences: 18.</w:t>
      </w:r>
    </w:p>
    <w:bookmarkEnd w:id="28"/>
    <w:bookmarkStart w:id="29"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 “no supplement produces nitric oxide” is false framing and must never be used.</w:t>
      </w:r>
    </w:p>
    <w:bookmarkEnd w:id="29"/>
    <w:bookmarkStart w:id="30"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w:t>
      </w:r>
      <w:r>
        <w:t xml:space="preserve"> </w:t>
      </w:r>
      <w:r>
        <w:rPr>
          <w:b/>
          <w:bCs/>
        </w:rPr>
        <w:t xml:space="preserve">Enyrgy is a wellness device, not medical, and makes no medical claims.</w:t>
      </w:r>
    </w:p>
    <w:p>
      <w:pPr>
        <w:pStyle w:val="BodyText"/>
      </w:pPr>
      <w:r>
        <w:rPr>
          <w:b/>
          <w:bCs/>
        </w:rPr>
        <w:t xml:space="preserve">One exemption: the contraindication list in section 16.</w:t>
      </w:r>
      <w:r>
        <w:t xml:space="preserve"> </w:t>
      </w:r>
      <w:r>
        <w:t xml:space="preserve">It is a safety disclosure and must go out verbatim, “diagnosed” and all. Scrubbing it to pass this scan breaks it.</w:t>
      </w:r>
    </w:p>
    <w:bookmarkEnd w:id="30"/>
    <w:bookmarkStart w:id="31"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bookmarkEnd w:id="31"/>
    <w:bookmarkStart w:id="32" w:name="investor-offering-details"/>
    <w:p>
      <w:pPr>
        <w:pStyle w:val="Heading2"/>
      </w:pPr>
      <w:r>
        <w:t xml:space="preserve">13. Investor offering details</w:t>
      </w:r>
    </w:p>
    <w:p>
      <w:pPr>
        <w:pStyle w:val="Compact"/>
        <w:numPr>
          <w:ilvl w:val="0"/>
          <w:numId w:val="1013"/>
        </w:numPr>
      </w:pPr>
      <w:r>
        <w:t xml:space="preserve">Structure: Private Credit, Promissory Note.</w:t>
      </w:r>
    </w:p>
    <w:p>
      <w:pPr>
        <w:pStyle w:val="Compact"/>
        <w:numPr>
          <w:ilvl w:val="0"/>
          <w:numId w:val="1013"/>
        </w:numPr>
      </w:pPr>
      <w:r>
        <w:rPr>
          <w:b/>
          <w:bCs/>
        </w:rPr>
        <w:t xml:space="preserve">Current company valuation: $10M.</w:t>
      </w:r>
      <w:r>
        <w:t xml:space="preserve"> </w:t>
      </w:r>
      <w:r>
        <w:t xml:space="preserve">This is the company’s present valuation. It is</w:t>
      </w:r>
      <w:r>
        <w:t xml:space="preserve"> </w:t>
      </w:r>
      <w:r>
        <w:rPr>
          <w:b/>
          <w:bCs/>
        </w:rPr>
        <w:t xml:space="preserve">not</w:t>
      </w:r>
      <w:r>
        <w:t xml:space="preserve"> </w:t>
      </w:r>
      <w:r>
        <w:t xml:space="preserve">the basis for the conversion discount below, which discounts from an independent SEC valuation obtained at the time of conversion. Do not present $10M as a conversion price or imply the two are the same number.</w:t>
      </w:r>
    </w:p>
    <w:p>
      <w:pPr>
        <w:pStyle w:val="Compact"/>
        <w:numPr>
          <w:ilvl w:val="0"/>
          <w:numId w:val="1013"/>
        </w:numPr>
      </w:pPr>
      <w:r>
        <w:t xml:space="preserve">Total raise: $3.5M. Minimum: $50,000. Return: 12 percent per annum. Term: 3 years.</w:t>
      </w:r>
    </w:p>
    <w:p>
      <w:pPr>
        <w:pStyle w:val="Compact"/>
        <w:numPr>
          <w:ilvl w:val="0"/>
          <w:numId w:val="1013"/>
        </w:numPr>
      </w:pPr>
      <w:r>
        <w:t xml:space="preserve">Interest paid quarterly (postponed the first 3 months).</w:t>
      </w:r>
    </w:p>
    <w:p>
      <w:pPr>
        <w:pStyle w:val="Compact"/>
        <w:numPr>
          <w:ilvl w:val="0"/>
          <w:numId w:val="1013"/>
        </w:numPr>
      </w:pPr>
      <w:r>
        <w:t xml:space="preserve">Conversion option: at investor discretion, 20 percent discount from an independent SEC valuation.</w:t>
      </w:r>
    </w:p>
    <w:p>
      <w:pPr>
        <w:pStyle w:val="Compact"/>
        <w:numPr>
          <w:ilvl w:val="0"/>
          <w:numId w:val="1013"/>
        </w:numPr>
      </w:pPr>
      <w:r>
        <w:t xml:space="preserve">Exit target: $100 to 150M in 5 years.</w:t>
      </w:r>
    </w:p>
    <w:p>
      <w:pPr>
        <w:pStyle w:val="Compact"/>
        <w:numPr>
          <w:ilvl w:val="0"/>
          <w:numId w:val="1013"/>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32"/>
    <w:bookmarkStart w:id="33" w:name="oem-partner-lumanova-luma-d-light"/>
    <w:p>
      <w:pPr>
        <w:pStyle w:val="Heading2"/>
      </w:pPr>
      <w:r>
        <w:t xml:space="preserve">14. OEM partner (Lumanova / Luma D Light)</w:t>
      </w:r>
    </w:p>
    <w:p>
      <w:pPr>
        <w:pStyle w:val="Compact"/>
        <w:numPr>
          <w:ilvl w:val="0"/>
          <w:numId w:val="1014"/>
        </w:numPr>
      </w:pPr>
      <w:r>
        <w:t xml:space="preserve">Partner: Lumanova. Product brand: Luma D Light. Pricing: same MSRP ($2,995 / $8,950).</w:t>
      </w:r>
    </w:p>
    <w:p>
      <w:pPr>
        <w:pStyle w:val="Compact"/>
        <w:numPr>
          <w:ilvl w:val="0"/>
          <w:numId w:val="1014"/>
        </w:numPr>
      </w:pPr>
      <w:r>
        <w:t xml:space="preserve">Arrangement: OEM white-label; Lumanova sells under their brand, Enyrgy manufactures. Exclusivity: Black Unit.</w:t>
      </w:r>
    </w:p>
    <w:p>
      <w:pPr>
        <w:pStyle w:val="Compact"/>
        <w:numPr>
          <w:ilvl w:val="0"/>
          <w:numId w:val="1014"/>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4"/>
        </w:numPr>
      </w:pPr>
      <w:r>
        <w:t xml:space="preserve">Any OEM matter escalates through the CEO to the human founders.</w:t>
      </w:r>
    </w:p>
    <w:p>
      <w:pPr>
        <w:pStyle w:val="Compact"/>
        <w:numPr>
          <w:ilvl w:val="0"/>
          <w:numId w:val="1014"/>
        </w:numPr>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p>
      <w:pPr>
        <w:pStyle w:val="Compact"/>
        <w:numPr>
          <w:ilvl w:val="0"/>
          <w:numId w:val="1014"/>
        </w:numPr>
      </w:pPr>
      <w:r>
        <w:rPr>
          <w:b/>
          <w:bCs/>
        </w:rPr>
        <w:t xml:space="preserve">Facility referral arrangement: ESCALATE TO SCOTT. Do not run this conversation.</w:t>
      </w:r>
      <w:r>
        <w:t xml:space="preserve"> </w:t>
      </w:r>
      <w:r>
        <w:t xml:space="preserve">A facility hands its members a unique referral link to</w:t>
      </w:r>
      <w:r>
        <w:t xml:space="preserve"> </w:t>
      </w:r>
      <w:r>
        <w:rPr>
          <w:rStyle w:val="VerbatimChar"/>
        </w:rPr>
        <w:t xml:space="preserve">shop.enyrgy.com</w:t>
      </w:r>
      <w:r>
        <w:t xml:space="preserve">; the member purchases directly from Enyrgy at the $2,995 MSRP and the facility is credited a commission. The facility carries no inventory and buys nothing. Because the member is the buyer of record, that purchase is HSA/FSA eligible (see §3). The referral link does not change whose purchase it is.</w:t>
      </w:r>
    </w:p>
    <w:p>
      <w:pPr>
        <w:pStyle w:val="Compact"/>
        <w:numPr>
          <w:ilvl w:val="1"/>
          <w:numId w:val="1015"/>
        </w:numPr>
      </w:pPr>
      <w:r>
        <w:rPr>
          <w:b/>
          <w:bCs/>
        </w:rPr>
        <w:t xml:space="preserve">The commission is $600 per Consumer Unit sale, and this figure appears in Commercial Drip Touch 7</w:t>
      </w:r>
      <w:r>
        <w:t xml:space="preserve">, so a facility that received that email already has it. An agent may therefore confirm the figure if a facility quotes it back, but</w:t>
      </w:r>
      <w:r>
        <w:t xml:space="preserve"> </w:t>
      </w:r>
      <w:r>
        <w:rPr>
          <w:b/>
          <w:bCs/>
        </w:rPr>
        <w:t xml:space="preserve">must not negotiate, extend, or discuss terms</w:t>
      </w:r>
      <w:r>
        <w:t xml:space="preserve">. Hand off to Scott, same as white-label and distribution. Scott handles referral arrangements personally (decision, Aug 14 2026).</w:t>
      </w:r>
    </w:p>
    <w:bookmarkEnd w:id="33"/>
    <w:bookmarkStart w:id="34" w:name="X4c841973e31ed136422f0c15a4f362a6c73c44a"/>
    <w:p>
      <w:pPr>
        <w:pStyle w:val="Heading2"/>
      </w:pPr>
      <w:r>
        <w:t xml:space="preserve">14b. Commercial dealer program (ESCALATE TO SCOTT)</w:t>
      </w:r>
    </w:p>
    <w:p>
      <w:pPr>
        <w:pStyle w:val="FirstParagraph"/>
      </w:pPr>
      <w:r>
        <w:rPr>
          <w:b/>
          <w:bCs/>
        </w:rPr>
        <w:t xml:space="preserve">Agents must not run a dealer conversation.</w:t>
      </w:r>
      <w:r>
        <w:t xml:space="preserve"> </w:t>
      </w:r>
      <w:r>
        <w:t xml:space="preserve">Terms, territory and registration are Scott’s, the same as white-label, distribution and the facility referral arrangement above. An agent may explain that the program exists and hand off. Nothing below is a negotiating position.</w:t>
      </w:r>
    </w:p>
    <w:p>
      <w:pPr>
        <w:pStyle w:val="BodyText"/>
      </w:pPr>
      <w:r>
        <w:rPr>
          <w:b/>
          <w:bCs/>
        </w:rPr>
        <w:t xml:space="preserve">What it is.</w:t>
      </w:r>
      <w:r>
        <w:t xml:space="preserve"> </w:t>
      </w:r>
      <w:r>
        <w:t xml:space="preserve">Dealers resell the</w:t>
      </w:r>
      <w:r>
        <w:t xml:space="preserve"> </w:t>
      </w:r>
      <w:r>
        <w:rPr>
          <w:b/>
          <w:bCs/>
        </w:rPr>
        <w:t xml:space="preserve">$8,950 commercial unit</w:t>
      </w:r>
      <w:r>
        <w:t xml:space="preserve"> </w:t>
      </w:r>
      <w:r>
        <w:t xml:space="preserve">and earn a commission on the final sale price. This is</w:t>
      </w:r>
      <w:r>
        <w:t xml:space="preserve"> </w:t>
      </w:r>
      <w:r>
        <w:rPr>
          <w:b/>
          <w:bCs/>
        </w:rPr>
        <w:t xml:space="preserve">not</w:t>
      </w:r>
      <w:r>
        <w:t xml:space="preserve"> </w:t>
      </w:r>
      <w:r>
        <w:t xml:space="preserve">the facility referral arrangement in section 14, which pays $600 on a $2,995 consumer unit that the member buys directly from Enyrgy. Different product, different terms, different people. Never describe the two in the same breath to a prospect.</w:t>
      </w:r>
    </w:p>
    <w:p>
      <w:pPr>
        <w:pStyle w:val="BodyText"/>
      </w:pPr>
      <w:r>
        <w:rPr>
          <w:b/>
          <w:bCs/>
        </w:rPr>
        <w:t xml:space="preserve">Not US-only.</w:t>
      </w:r>
      <w:r>
        <w:t xml:space="preserve"> </w:t>
      </w:r>
      <w:r>
        <w:t xml:space="preserve">Commission is calculated on the actual sale price expressed in</w:t>
      </w:r>
      <w:r>
        <w:t xml:space="preserve"> </w:t>
      </w:r>
      <w:r>
        <w:rPr>
          <w:b/>
          <w:bCs/>
        </w:rPr>
        <w:t xml:space="preserve">USD</w:t>
      </w:r>
      <w:r>
        <w:t xml:space="preserve">, whatever the dealer’s local currency.</w:t>
      </w:r>
    </w:p>
    <w:p>
      <w:pPr>
        <w:pStyle w:val="BodyText"/>
      </w:pPr>
      <w:r>
        <w:rPr>
          <w:b/>
          <w:bCs/>
        </w:rPr>
        <w:t xml:space="preserve">The commission ladder, tied to the final sale price:</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Commission</w:t>
            </w:r>
          </w:p>
        </w:tc>
        <w:tc>
          <w:tcPr/>
          <w:p>
            <w:pPr>
              <w:pStyle w:val="Compact"/>
            </w:pPr>
            <w:r>
              <w:t xml:space="preserve">Maximum discount off MSRP</w:t>
            </w:r>
          </w:p>
        </w:tc>
        <w:tc>
          <w:tcPr/>
          <w:p>
            <w:pPr>
              <w:pStyle w:val="Compact"/>
            </w:pPr>
            <w:r>
              <w:t xml:space="preserve">Resulting price</w:t>
            </w:r>
          </w:p>
        </w:tc>
      </w:tr>
      <w:tr>
        <w:tc>
          <w:tcPr/>
          <w:p>
            <w:pPr>
              <w:pStyle w:val="Compact"/>
            </w:pPr>
            <w:r>
              <w:t xml:space="preserve">25 percent</w:t>
            </w:r>
          </w:p>
        </w:tc>
        <w:tc>
          <w:tcPr/>
          <w:p>
            <w:pPr>
              <w:pStyle w:val="Compact"/>
            </w:pPr>
            <w:r>
              <w:t xml:space="preserve">none, sells at MSRP</w:t>
            </w:r>
          </w:p>
        </w:tc>
        <w:tc>
          <w:tcPr/>
          <w:p>
            <w:pPr>
              <w:pStyle w:val="Compact"/>
            </w:pPr>
            <w:r>
              <w:t xml:space="preserve">$8,950</w:t>
            </w:r>
          </w:p>
        </w:tc>
      </w:tr>
      <w:tr>
        <w:tc>
          <w:tcPr/>
          <w:p>
            <w:pPr>
              <w:pStyle w:val="Compact"/>
            </w:pPr>
            <w:r>
              <w:t xml:space="preserve">20 percent</w:t>
            </w:r>
          </w:p>
        </w:tc>
        <w:tc>
          <w:tcPr/>
          <w:p>
            <w:pPr>
              <w:pStyle w:val="Compact"/>
            </w:pPr>
            <w:r>
              <w:t xml:space="preserve">$1,342.50</w:t>
            </w:r>
          </w:p>
        </w:tc>
        <w:tc>
          <w:tcPr/>
          <w:p>
            <w:pPr>
              <w:pStyle w:val="Compact"/>
            </w:pPr>
            <w:r>
              <w:t xml:space="preserve">$7,607.50</w:t>
            </w:r>
          </w:p>
        </w:tc>
      </w:tr>
      <w:tr>
        <w:tc>
          <w:tcPr/>
          <w:p>
            <w:pPr>
              <w:pStyle w:val="Compact"/>
            </w:pPr>
            <w:r>
              <w:t xml:space="preserve">16 percent</w:t>
            </w:r>
          </w:p>
        </w:tc>
        <w:tc>
          <w:tcPr/>
          <w:p>
            <w:pPr>
              <w:pStyle w:val="Compact"/>
            </w:pPr>
            <w:r>
              <w:t xml:space="preserve">$1,790.00</w:t>
            </w:r>
          </w:p>
        </w:tc>
        <w:tc>
          <w:tcPr/>
          <w:p>
            <w:pPr>
              <w:pStyle w:val="Compact"/>
            </w:pPr>
            <w:r>
              <w:t xml:space="preserve">$7,160.00</w:t>
            </w:r>
          </w:p>
        </w:tc>
      </w:tr>
    </w:tbl>
    <w:p>
      <w:pPr>
        <w:pStyle w:val="BodyText"/>
      </w:pPr>
      <w:r>
        <w:rPr>
          <w:b/>
          <w:bCs/>
        </w:rPr>
        <w:t xml:space="preserve">$7,160 is the MAP floor.</w:t>
      </w:r>
      <w:r>
        <w:t xml:space="preserve"> </w:t>
      </w:r>
      <w:r>
        <w:t xml:space="preserve">A deal below it is flagged and pays no commission at all. The dealer discounts against their own commission, which is the point of the structure: they can compete on price, but only with their own margin.</w:t>
      </w:r>
    </w:p>
    <w:p>
      <w:pPr>
        <w:pStyle w:val="BodyText"/>
      </w:pPr>
      <w:r>
        <w:rPr>
          <w:b/>
          <w:bCs/>
        </w:rPr>
        <w:t xml:space="preserve">Deal registration.</w:t>
      </w:r>
      <w:r>
        <w:t xml:space="preserve"> </w:t>
      </w:r>
      <w:r>
        <w:t xml:space="preserve">A dealer registers a named facility and holds attribution on it for</w:t>
      </w:r>
      <w:r>
        <w:t xml:space="preserve"> </w:t>
      </w:r>
      <w:r>
        <w:rPr>
          <w:b/>
          <w:bCs/>
        </w:rPr>
        <w:t xml:space="preserve">90 days</w:t>
      </w:r>
      <w:r>
        <w:t xml:space="preserve">. Registration runs through a form unique to that dealer, tracked as an Opportunity in the Commercial B2B pipeline. Build detail lives in the Implementation Guide section 12 and</w:t>
      </w:r>
      <w:r>
        <w:t xml:space="preserve"> </w:t>
      </w:r>
      <w:r>
        <w:rPr>
          <w:rStyle w:val="VerbatimChar"/>
        </w:rPr>
        <w:t xml:space="preserve">campaigns/dealer-onboarding.md</w:t>
      </w:r>
      <w:r>
        <w:t xml:space="preserve">; agents need only know that registration exists, that it expires, and that the roster of other dealers is confidential.</w:t>
      </w:r>
    </w:p>
    <w:p>
      <w:pPr>
        <w:pStyle w:val="BodyText"/>
      </w:pPr>
      <w:r>
        <w:rPr>
          <w:b/>
          <w:bCs/>
        </w:rPr>
        <w:t xml:space="preserve">Never disclose the dealer roster.</w:t>
      </w:r>
      <w:r>
        <w:t xml:space="preserve"> </w:t>
      </w:r>
      <w:r>
        <w:t xml:space="preserve">Who else sells for Enyrgy, and by inference which territories are covered and how large the network is, is competitive intelligence. Each dealer sees only their own name on their own form, deliberately.</w:t>
      </w:r>
    </w:p>
    <w:bookmarkEnd w:id="34"/>
    <w:bookmarkStart w:id="35" w:name="key-reference-facts-quick-lookup"/>
    <w:p>
      <w:pPr>
        <w:pStyle w:val="Heading2"/>
      </w:pPr>
      <w:r>
        <w:t xml:space="preserve">15. Key reference facts (quick lookup)</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169"/>
        <w:gridCol w:w="6750"/>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Users</w:t>
            </w:r>
          </w:p>
        </w:tc>
        <w:tc>
          <w:tcPr/>
          <w:p>
            <w:pPr>
              <w:pStyle w:val="Compact"/>
            </w:pPr>
            <w:r>
              <w:t xml:space="preserve">600+ across 5 countries (</w:t>
            </w:r>
            <w:r>
              <w:rPr>
                <w:b/>
                <w:bCs/>
              </w:rPr>
              <w:t xml:space="preserve">say users, not customers</w:t>
            </w:r>
            <w:r>
              <w:t xml:space="preserve">)</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Dealer commission</w:t>
            </w:r>
          </w:p>
        </w:tc>
        <w:tc>
          <w:tcPr/>
          <w:p>
            <w:pPr>
              <w:pStyle w:val="Compact"/>
            </w:pPr>
            <w:r>
              <w:t xml:space="preserve">25 / 20 / 16 percent on final sale price, MAP floor $7,160 (section 14b)</w:t>
            </w:r>
          </w:p>
        </w:tc>
      </w:tr>
      <w:tr>
        <w:tc>
          <w:tcPr/>
          <w:p>
            <w:pPr>
              <w:pStyle w:val="Compact"/>
            </w:pPr>
            <w:r>
              <w:t xml:space="preserve">Facility referral</w:t>
            </w:r>
          </w:p>
        </w:tc>
        <w:tc>
          <w:tcPr/>
          <w:p>
            <w:pPr>
              <w:pStyle w:val="Compact"/>
            </w:pPr>
            <w:r>
              <w:t xml:space="preserve">$600 per Consumer Unit sale (section 14, escalate to Scott)</w:t>
            </w:r>
          </w:p>
        </w:tc>
      </w:tr>
      <w:tr>
        <w:tc>
          <w:tcPr/>
          <w:p>
            <w:pPr>
              <w:pStyle w:val="Compact"/>
            </w:pPr>
            <w:r>
              <w:t xml:space="preserve">Commercial model</w:t>
            </w:r>
          </w:p>
        </w:tc>
        <w:tc>
          <w:tcPr/>
          <w:p>
            <w:pPr>
              <w:pStyle w:val="Compact"/>
            </w:pPr>
            <w:r>
              <w:t xml:space="preserve">$49 to $125/month per client, set by location and clientele; payback under 4 months at 50 clients at $49, about 6 weeks at $125</w:t>
            </w:r>
          </w:p>
        </w:tc>
      </w:tr>
    </w:tbl>
    <w:bookmarkEnd w:id="35"/>
    <w:bookmarkStart w:id="43" w:name="X3c8fab249a12745cd8b0fe4a60814613a930d17"/>
    <w:p>
      <w:pPr>
        <w:pStyle w:val="Heading2"/>
      </w:pPr>
      <w:r>
        <w:t xml:space="preserve">16. Contraindications and inbound health questions (safety, non-negotiable)</w:t>
      </w:r>
    </w:p>
    <w:p>
      <w:pPr>
        <w:pStyle w:val="FirstParagraph"/>
      </w:pPr>
      <w:r>
        <w:rPr>
          <w:b/>
          <w:bCs/>
        </w:rPr>
        <w:t xml:space="preserve">Source: the Enyrgy User Guide that ships with every unit.</w:t>
      </w:r>
      <w:r>
        <w:t xml:space="preserve"> </w:t>
      </w:r>
      <w:r>
        <w:t xml:space="preserve">This is a safety disclosure, not marketing copy. Reproduce it as written. No agent may shorten it, soften it, restate it in its own words, add to it, or reason from it to a condition it does not name.</w:t>
      </w:r>
    </w:p>
    <w:bookmarkStart w:id="36" w:name="the-list-verbatim"/>
    <w:p>
      <w:pPr>
        <w:pStyle w:val="Heading3"/>
      </w:pPr>
      <w:r>
        <w:t xml:space="preserve">16.1 The list, verbatim</w:t>
      </w:r>
    </w:p>
    <w:p>
      <w:pPr>
        <w:pStyle w:val="BlockText"/>
      </w:pPr>
      <w:r>
        <w:rPr>
          <w:b/>
          <w:bCs/>
        </w:rPr>
        <w:t xml:space="preserve">Contraindicated</w:t>
      </w:r>
    </w:p>
    <w:p>
      <w:pPr>
        <w:pStyle w:val="BlockText"/>
      </w:pPr>
      <w:r>
        <w:t xml:space="preserve">We recommend consulting your doctor to evaluate whether Enyrgy Light Therapy is right for you.</w:t>
      </w:r>
    </w:p>
    <w:p>
      <w:pPr>
        <w:pStyle w:val="Compact"/>
        <w:numPr>
          <w:ilvl w:val="0"/>
          <w:numId w:val="1016"/>
        </w:numPr>
      </w:pPr>
      <w:r>
        <w:t xml:space="preserve">Do not use if Pregnant</w:t>
      </w:r>
    </w:p>
    <w:p>
      <w:pPr>
        <w:pStyle w:val="Compact"/>
        <w:numPr>
          <w:ilvl w:val="0"/>
          <w:numId w:val="1016"/>
        </w:numPr>
      </w:pPr>
      <w:r>
        <w:t xml:space="preserve">Do not use if diagnosed with UV Light Sensitivity</w:t>
      </w:r>
    </w:p>
    <w:p>
      <w:pPr>
        <w:pStyle w:val="Compact"/>
        <w:numPr>
          <w:ilvl w:val="0"/>
          <w:numId w:val="1016"/>
        </w:numPr>
      </w:pPr>
      <w:r>
        <w:t xml:space="preserve">Do not use if on photosensitizing medication</w:t>
      </w:r>
    </w:p>
    <w:p>
      <w:pPr>
        <w:pStyle w:val="Compact"/>
        <w:numPr>
          <w:ilvl w:val="0"/>
          <w:numId w:val="1016"/>
        </w:numPr>
      </w:pPr>
      <w:r>
        <w:t xml:space="preserve">Do not use if diagnosed with HIV-AIDS</w:t>
      </w:r>
    </w:p>
    <w:p>
      <w:pPr>
        <w:pStyle w:val="Compact"/>
        <w:numPr>
          <w:ilvl w:val="0"/>
          <w:numId w:val="1016"/>
        </w:numPr>
      </w:pPr>
      <w:r>
        <w:t xml:space="preserve">Do not use if diagnosed with Active Skin Cancer</w:t>
      </w:r>
    </w:p>
    <w:p>
      <w:pPr>
        <w:pStyle w:val="Compact"/>
        <w:numPr>
          <w:ilvl w:val="0"/>
          <w:numId w:val="1016"/>
        </w:numPr>
      </w:pPr>
      <w:r>
        <w:t xml:space="preserve">Do not use if diagnosed with UV light sensitivities: Protoporphyria (EPP), UV-sensitive syndrome, Photodermatitis, Xeroderma pigmentosum (XP), Lupus erythematosus, or Actinic dermatitis</w:t>
      </w:r>
    </w:p>
    <w:p>
      <w:pPr>
        <w:pStyle w:val="Compact"/>
        <w:numPr>
          <w:ilvl w:val="0"/>
          <w:numId w:val="1016"/>
        </w:numPr>
      </w:pPr>
      <w:r>
        <w:t xml:space="preserve">Do not use if diagnosed with UV light allergies: Actinic prurigo (hereditary PMLE), Polymorphous light eruption (PMLE), or Solar urticaria</w:t>
      </w:r>
    </w:p>
    <w:p>
      <w:pPr>
        <w:pStyle w:val="FirstParagraph"/>
      </w:pPr>
      <w:r>
        <w:t xml:space="preserve">The age minimum of 18 (section 9) applies on top of this list.</w:t>
      </w:r>
    </w:p>
    <w:bookmarkEnd w:id="36"/>
    <w:bookmarkStart w:id="37" w:name="Xfe5b76f7bdef9e74f6fe2238bfb78b1a0b0085c"/>
    <w:p>
      <w:pPr>
        <w:pStyle w:val="Heading3"/>
      </w:pPr>
      <w:r>
        <w:t xml:space="preserve">16.2 This list is exempt from the prohibited-words scan</w:t>
      </w:r>
    </w:p>
    <w:p>
      <w:pPr>
        <w:pStyle w:val="FirstParagraph"/>
      </w:pPr>
      <w:r>
        <w:t xml:space="preserve">The scan in section 11 blocks “diagnose” and “disease” in client-facing content. The contraindication list contains “diagnosed” five times by necessity, because naming the condition is the entire function of a safety disclosure.</w:t>
      </w:r>
      <w:r>
        <w:t xml:space="preserve"> </w:t>
      </w:r>
      <w:r>
        <w:rPr>
          <w:b/>
          <w:bCs/>
        </w:rPr>
        <w:t xml:space="preserve">An agent that scrubs those words to satisfy the scan breaks the disclosure.</w:t>
      </w:r>
      <w:r>
        <w:t xml:space="preserve"> </w:t>
      </w:r>
      <w:r>
        <w:t xml:space="preserve">Send it as written or do not send it. This is the only standing exemption to section 11.</w:t>
      </w:r>
    </w:p>
    <w:bookmarkEnd w:id="37"/>
    <w:bookmarkStart w:id="38" w:name="X7079cd488be367803663fc3ca74e1a7445ddb0b"/>
    <w:p>
      <w:pPr>
        <w:pStyle w:val="Heading3"/>
      </w:pPr>
      <w:r>
        <w:t xml:space="preserve">16.3 Photosensitizing medication is the item that carries real physical risk</w:t>
      </w:r>
    </w:p>
    <w:p>
      <w:pPr>
        <w:pStyle w:val="FirstParagraph"/>
      </w:pPr>
      <w:r>
        <w:t xml:space="preserve">The other entries describe conditions a person already knows they have. This one is different in two ways, and both matter.</w:t>
      </w:r>
    </w:p>
    <w:p>
      <w:pPr>
        <w:pStyle w:val="BodyText"/>
      </w:pPr>
      <w:r>
        <w:rPr>
          <w:b/>
          <w:bCs/>
        </w:rPr>
        <w:t xml:space="preserve">It is invisible to the device.</w:t>
      </w:r>
      <w:r>
        <w:t xml:space="preserve"> </w:t>
      </w:r>
      <w:r>
        <w:t xml:space="preserve">The app calculates each user’s dose from Fitzpatrick skin type and ends the session automatically (section 4). It has no knowledge of what the user takes. Photosensitizing drugs lower the dose at which skin burns, which is the documented reason this line sits on the list at all, so a dose set correctly for a skin type can exceed what that particular person’s skin tolerates. The automatic cutoff does not protect against this, because the variable it doses on is not the variable that changed.</w:t>
      </w:r>
    </w:p>
    <w:p>
      <w:pPr>
        <w:pStyle w:val="BodyText"/>
      </w:pPr>
      <w:r>
        <w:rPr>
          <w:b/>
          <w:bCs/>
        </w:rPr>
        <w:t xml:space="preserve">The safety record does not speak to this, in either direction.</w:t>
      </w:r>
      <w:r>
        <w:t xml:space="preserve"> </w:t>
      </w:r>
      <w:r>
        <w:t xml:space="preserve">We do not screen for photosensitizing drugs and do not record them, so nobody knows how many of the 25,000+ sessions involved someone taking one. The figure shows the dosing protocol has been safe across the people who have used it. It is not evidence that the protocol is safe for a photosensitized user, and it is not evidence of harm either. It is silent, because the variable was never measured.</w:t>
      </w:r>
      <w:r>
        <w:t xml:space="preserve"> </w:t>
      </w:r>
      <w:r>
        <w:rPr>
          <w:b/>
          <w:bCs/>
        </w:rPr>
        <w:t xml:space="preserve">Do not cite the safety record in answer to a photosensitivity question.</w:t>
      </w:r>
      <w:r>
        <w:t xml:space="preserve"> </w:t>
      </w:r>
      <w:r>
        <w:t xml:space="preserve">Citing it there presents an unmeasured variable as a tested one.</w:t>
      </w:r>
    </w:p>
    <w:p>
      <w:pPr>
        <w:pStyle w:val="BodyText"/>
      </w:pPr>
      <w:r>
        <w:rPr>
          <w:b/>
          <w:bCs/>
        </w:rPr>
        <w:t xml:space="preserve">People often do not know they are on one.</w:t>
      </w:r>
      <w:r>
        <w:t xml:space="preserve"> </w:t>
      </w:r>
      <w:r>
        <w:t xml:space="preserve">The category is wide and includes drugs nobody associates with sunlight: several antibiotic classes, some diuretics, some cardiac and antiarrhythmic drugs, some anti-inflammatories, some antifungals, some retinoids, and St John’s wort. Never list examples to a customer and never rule a specific drug in or out. The category is a physician’s question, and asking it is the whole point of the line above the list.</w:t>
      </w:r>
    </w:p>
    <w:p>
      <w:pPr>
        <w:pStyle w:val="BodyText"/>
      </w:pPr>
      <w:r>
        <w:t xml:space="preserve">Photosensitivity can also outlast the last dose, so “I stopped taking it” is not the same as clear. That timing question also belongs to their physician, not to us.</w:t>
      </w:r>
    </w:p>
    <w:bookmarkEnd w:id="38"/>
    <w:bookmarkStart w:id="39" w:name="Xac8e472bf725badfd76b7f636b4a5d32aa584fa"/>
    <w:p>
      <w:pPr>
        <w:pStyle w:val="Heading3"/>
      </w:pPr>
      <w:r>
        <w:t xml:space="preserve">16.4 How an agent handles an inbound health question</w:t>
      </w:r>
    </w:p>
    <w:p>
      <w:pPr>
        <w:pStyle w:val="FirstParagraph"/>
      </w:pPr>
      <w:r>
        <w:t xml:space="preserve">Someone describing a condition, an injury, a medication, or an ongoing course of care is not a normal inquiry. Handle it this way, every time.</w:t>
      </w:r>
    </w:p>
    <w:p>
      <w:pPr>
        <w:pStyle w:val="Compact"/>
        <w:numPr>
          <w:ilvl w:val="0"/>
          <w:numId w:val="1017"/>
        </w:numPr>
      </w:pPr>
      <w:r>
        <w:rPr>
          <w:b/>
          <w:bCs/>
        </w:rPr>
        <w:t xml:space="preserve">Never clear anyone.</w:t>
      </w:r>
      <w:r>
        <w:t xml:space="preserve"> </w:t>
      </w:r>
      <w:r>
        <w:t xml:space="preserve">Do not say a person is fine, is probably fine, sounds fine, or that their situation is not on the list.</w:t>
      </w:r>
      <w:r>
        <w:t xml:space="preserve"> </w:t>
      </w:r>
      <w:r>
        <w:rPr>
          <w:b/>
          <w:bCs/>
        </w:rPr>
        <w:t xml:space="preserve">Absence from the list is not clearance</w:t>
      </w:r>
      <w:r>
        <w:t xml:space="preserve">, and an agent has no standing to grant it.</w:t>
      </w:r>
    </w:p>
    <w:p>
      <w:pPr>
        <w:pStyle w:val="Compact"/>
        <w:numPr>
          <w:ilvl w:val="0"/>
          <w:numId w:val="1017"/>
        </w:numPr>
      </w:pPr>
      <w:r>
        <w:rPr>
          <w:b/>
          <w:bCs/>
        </w:rPr>
        <w:t xml:space="preserve">Never reason outward from the list.</w:t>
      </w:r>
      <w:r>
        <w:t xml:space="preserve"> </w:t>
      </w:r>
      <w:r>
        <w:t xml:space="preserve">It names what it names. Do not infer that a related condition is safe because it is unnamed, or unsafe because it resembles one that is.</w:t>
      </w:r>
    </w:p>
    <w:p>
      <w:pPr>
        <w:pStyle w:val="Compact"/>
        <w:numPr>
          <w:ilvl w:val="0"/>
          <w:numId w:val="1017"/>
        </w:numPr>
      </w:pPr>
      <w:r>
        <w:rPr>
          <w:b/>
          <w:bCs/>
        </w:rPr>
        <w:t xml:space="preserve">Never suggest a schedule, a session length, or a dose for a health situation.</w:t>
      </w:r>
      <w:r>
        <w:t xml:space="preserve"> </w:t>
      </w:r>
      <w:r>
        <w:t xml:space="preserve">The app sets dose. We do not.</w:t>
      </w:r>
    </w:p>
    <w:p>
      <w:pPr>
        <w:pStyle w:val="Compact"/>
        <w:numPr>
          <w:ilvl w:val="0"/>
          <w:numId w:val="1017"/>
        </w:numPr>
      </w:pPr>
      <w:r>
        <w:rPr>
          <w:b/>
          <w:bCs/>
        </w:rPr>
        <w:t xml:space="preserve">Never send the platform’s benefit story as the answer to a health question.</w:t>
      </w:r>
      <w:r>
        <w:t xml:space="preserve"> </w:t>
      </w:r>
      <w:r>
        <w:t xml:space="preserve">A person describing a condition is asking whether this helps or harms them. Reciting pathways answers a different question and reads as an answer to theirs.</w:t>
      </w:r>
    </w:p>
    <w:p>
      <w:pPr>
        <w:pStyle w:val="Compact"/>
        <w:numPr>
          <w:ilvl w:val="0"/>
          <w:numId w:val="1017"/>
        </w:numPr>
      </w:pPr>
      <w:r>
        <w:rPr>
          <w:b/>
          <w:bCs/>
        </w:rPr>
        <w:t xml:space="preserve">Do not solicit or record health details.</w:t>
      </w:r>
      <w:r>
        <w:t xml:space="preserve"> </w:t>
      </w:r>
      <w:r>
        <w:t xml:space="preserve">If they arrive unprompted, do not enter them in GHL custom fields, tags, or notes. Escalate the conversation instead.</w:t>
      </w:r>
    </w:p>
    <w:p>
      <w:pPr>
        <w:pStyle w:val="Compact"/>
        <w:numPr>
          <w:ilvl w:val="0"/>
          <w:numId w:val="1017"/>
        </w:numPr>
      </w:pPr>
      <w:r>
        <w:rPr>
          <w:b/>
          <w:bCs/>
        </w:rPr>
        <w:t xml:space="preserve">Give the list, name the physician conversation, stop there.</w:t>
      </w:r>
    </w:p>
    <w:p>
      <w:pPr>
        <w:pStyle w:val="Compact"/>
        <w:numPr>
          <w:ilvl w:val="0"/>
          <w:numId w:val="1017"/>
        </w:numPr>
      </w:pPr>
      <w:r>
        <w:rPr>
          <w:b/>
          <w:bCs/>
        </w:rPr>
        <w:t xml:space="preserve">Escalate to Scott</w:t>
      </w:r>
      <w:r>
        <w:t xml:space="preserve"> </w:t>
      </w:r>
      <w:r>
        <w:t xml:space="preserve">whenever the person names a specific condition, a medication, ongoing care, or asks for an arrangement outside the standard purchase. Do not run that conversation.</w:t>
      </w:r>
    </w:p>
    <w:p>
      <w:pPr>
        <w:pStyle w:val="FirstParagraph"/>
      </w:pPr>
      <w:r>
        <w:t xml:space="preserve">The honest position, and the one to hold: we do not know whether it helps or harms in a specific medical situation, the questions that would settle it are answerable by their physician in a few minutes, and pointing them there is a better answer than yes.</w:t>
      </w:r>
    </w:p>
    <w:bookmarkEnd w:id="39"/>
    <w:bookmarkStart w:id="40" w:name="X3883c1d2206e10653c9889d2dfe957a08beb348"/>
    <w:p>
      <w:pPr>
        <w:pStyle w:val="Heading3"/>
      </w:pPr>
      <w:r>
        <w:t xml:space="preserve">16.5 Vitamin D non-response is not a contraindication</w:t>
      </w:r>
    </w:p>
    <w:p>
      <w:pPr>
        <w:pStyle w:val="FirstParagraph"/>
      </w:pPr>
      <w:r>
        <w:t xml:space="preserve">The User Guide records, alongside the list: those who have polymorphisms in genes related to vitamin D metabolism (for example GC, CYP2R1, DHCR7) do not respond well to UVB, sometimes described as UVB non-responsiveness or vitamin D photoconversion resistance.</w:t>
      </w:r>
    </w:p>
    <w:p>
      <w:pPr>
        <w:pStyle w:val="BodyText"/>
      </w:pPr>
      <w:r>
        <w:rPr>
          <w:b/>
          <w:bCs/>
        </w:rPr>
        <w:t xml:space="preserve">This is a non-response caveat, not a safety exclusion.</w:t>
      </w:r>
      <w:r>
        <w:t xml:space="preserve"> </w:t>
      </w:r>
      <w:r>
        <w:t xml:space="preserve">Never phrase it as “do not use if.” It carries two implications worth stating plainly.</w:t>
      </w:r>
    </w:p>
    <w:p>
      <w:pPr>
        <w:pStyle w:val="Compact"/>
        <w:numPr>
          <w:ilvl w:val="0"/>
          <w:numId w:val="1018"/>
        </w:numPr>
      </w:pPr>
      <w:r>
        <w:t xml:space="preserve">It is the honest limit on the clinical result. The five participants all reached optimal (section 4). A person with these polymorphisms may not, through no failure of the platform. Testing before and after is what settles it for any individual, which is what we recommend anyway.</w:t>
      </w:r>
    </w:p>
    <w:p>
      <w:pPr>
        <w:pStyle w:val="Compact"/>
        <w:numPr>
          <w:ilvl w:val="0"/>
          <w:numId w:val="1018"/>
        </w:numPr>
      </w:pPr>
      <w:r>
        <w:t xml:space="preserve">The biology overlaps with the one-in-four low-responder figure for supplements (section 8) without being identical to it. GC and CYP2R1 act on vitamin D once it is in circulation, whichever route it arrived by, so they bear on both. DHCR7 governs the substrate available in skin, so it is specific to the light pathway. The practical rule that follows:</w:t>
      </w:r>
      <w:r>
        <w:t xml:space="preserve"> </w:t>
      </w:r>
      <w:r>
        <w:rPr>
          <w:b/>
          <w:bCs/>
        </w:rPr>
        <w:t xml:space="preserve">never present low response as a supplement problem the platform escapes.</w:t>
      </w:r>
      <w:r>
        <w:t xml:space="preserve"> </w:t>
      </w:r>
      <w:r>
        <w:t xml:space="preserve">The platform opens three pathways instead of one and is far more efficient at the vitamin D pathway, and that is the accurate comparison. It does not make vitamin D genetics irrelevant.</w:t>
      </w:r>
    </w:p>
    <w:bookmarkEnd w:id="40"/>
    <w:bookmarkStart w:id="41" w:name="use-on-intact-skin-only"/>
    <w:p>
      <w:pPr>
        <w:pStyle w:val="Heading3"/>
      </w:pPr>
      <w:r>
        <w:t xml:space="preserve">16.6 Use on intact skin only</w:t>
      </w:r>
    </w:p>
    <w:p>
      <w:pPr>
        <w:pStyle w:val="FirstParagraph"/>
      </w:pPr>
      <w:r>
        <w:rPr>
          <w:b/>
          <w:bCs/>
        </w:rPr>
        <w:t xml:space="preserve">Approved wording, use as written in every document and every reply:</w:t>
      </w:r>
    </w:p>
    <w:p>
      <w:pPr>
        <w:pStyle w:val="BlockText"/>
      </w:pPr>
      <w:r>
        <w:rPr>
          <w:b/>
          <w:bCs/>
        </w:rPr>
        <w:t xml:space="preserve">Use on intact skin only.</w:t>
      </w:r>
      <w:r>
        <w:t xml:space="preserve"> </w:t>
      </w:r>
      <w:r>
        <w:t xml:space="preserve">Sessions are taken on the torso, on skin that is unbroken and healthy. Do not direct exposure at a wound, a sore that has not closed, a rash, a burn, or any other area of broken skin. Keep any such area covered during your session, and speak with your doctor before continuing.</w:t>
      </w:r>
    </w:p>
    <w:p>
      <w:pPr>
        <w:pStyle w:val="FirstParagraph"/>
      </w:pPr>
      <w:r>
        <w:rPr>
          <w:b/>
          <w:bCs/>
        </w:rPr>
        <w:t xml:space="preserve">Why this exists.</w:t>
      </w:r>
      <w:r>
        <w:t xml:space="preserve"> </w:t>
      </w:r>
      <w:r>
        <w:t xml:space="preserve">It was missing from every Enyrgy document until August 2026, and the gap is not academic. Our own approved research points say adequate vitamin D supports wound repair (section 4). A person who reads that and then owns a UVB platform can reasonably conclude the light should go on the wound. Nothing we published told them otherwise.</w:t>
      </w:r>
    </w:p>
    <w:p>
      <w:pPr>
        <w:pStyle w:val="BodyText"/>
      </w:pPr>
      <w:r>
        <w:rPr>
          <w:b/>
          <w:bCs/>
        </w:rPr>
        <w:t xml:space="preserve">Agents must never build on that inference.</w:t>
      </w:r>
      <w:r>
        <w:t xml:space="preserve"> </w:t>
      </w:r>
      <w:r>
        <w:t xml:space="preserve">Do not suggest that a session supports a specific injury, do not answer a wound question with the bone and recovery research, and do not describe where to position anything. The line above, then the physician, then stop.</w:t>
      </w:r>
    </w:p>
    <w:bookmarkEnd w:id="41"/>
    <w:bookmarkStart w:id="42" w:name="why-the-pacemaker-line-was-removed"/>
    <w:p>
      <w:pPr>
        <w:pStyle w:val="Heading3"/>
      </w:pPr>
      <w:r>
        <w:t xml:space="preserve">16.7 Why the pacemaker line was removed</w:t>
      </w:r>
    </w:p>
    <w:p>
      <w:pPr>
        <w:pStyle w:val="FirstParagraph"/>
      </w:pPr>
      <w:r>
        <w:rPr>
          <w:b/>
          <w:bCs/>
        </w:rPr>
        <w:t xml:space="preserve">No dermatological source supports the exclusion.</w:t>
      </w:r>
      <w:r>
        <w:t xml:space="preserve"> </w:t>
      </w:r>
      <w:r>
        <w:t xml:space="preserve">The 2019 joint AAD and NPF phototherapy guidelines (Elmets et al.,</w:t>
      </w:r>
      <w:r>
        <w:t xml:space="preserve"> </w:t>
      </w:r>
      <w:r>
        <w:rPr>
          <w:i/>
          <w:iCs/>
        </w:rPr>
        <w:t xml:space="preserve">J Am Acad Dermatol</w:t>
      </w:r>
      <w:r>
        <w:t xml:space="preserve"> </w:t>
      </w:r>
      <w:r>
        <w:t xml:space="preserve">2019;81(3):775-804) treat narrowband UVB as having very few absolute contraindications: xeroderma pigmentosum and other photosensitive disorders. The relative contraindications they list are skin cancer history, photosensitivity disorders, autoimmune conditions such as lupus, pregnancy, immunosuppressive therapy, cataracts, and similar. Implanted cardiac devices appear in neither list.</w:t>
      </w:r>
    </w:p>
    <w:p>
      <w:pPr>
        <w:pStyle w:val="BodyText"/>
      </w:pPr>
      <w:r>
        <w:rPr>
          <w:b/>
          <w:bCs/>
        </w:rPr>
        <w:t xml:space="preserve">The origin appears to be equipment, not light.</w:t>
      </w:r>
      <w:r>
        <w:t xml:space="preserve"> </w:t>
      </w:r>
      <w:r>
        <w:t xml:space="preserve">Warnings of this shape are standard on tanning and cabinet-style UV equipment, where the concern is electromagnetic interference from the cabinet’s own electrical systems, its ballasts, fans and motors, rather than from the ultraviolet output. The therapeutic laser literature describes the same exclusion as a common misconception, on the grounds that implanted devices are metal-encased and unaffected by photons. Sunlight itself carries no such warning. Enyrgy’s platform is a wall-mounted unit the user stands against, not a powered cabinet they lie inside.</w:t>
      </w:r>
    </w:p>
    <w:p>
      <w:pPr>
        <w:pStyle w:val="BodyText"/>
      </w:pPr>
      <w:r>
        <w:rPr>
          <w:b/>
          <w:bCs/>
        </w:rPr>
        <w:t xml:space="preserve">What this does not mean, and the distinction agents must hold.</w:t>
      </w:r>
    </w:p>
    <w:p>
      <w:pPr>
        <w:pStyle w:val="Compact"/>
        <w:numPr>
          <w:ilvl w:val="0"/>
          <w:numId w:val="1019"/>
        </w:numPr>
      </w:pPr>
      <w:r>
        <w:rPr>
          <w:b/>
          <w:bCs/>
        </w:rPr>
        <w:t xml:space="preserve">Removal from the list is not clearance.</w:t>
      </w:r>
      <w:r>
        <w:t xml:space="preserve"> </w:t>
      </w:r>
      <w:r>
        <w:t xml:space="preserve">The rule in 16.4 governs unchanged: absence from the list never means a person is fine, and no agent may tell someone with a pacemaker that Enyrgy is safe for them. That is still their physician’s call.</w:t>
      </w:r>
    </w:p>
    <w:p>
      <w:pPr>
        <w:pStyle w:val="Compact"/>
        <w:numPr>
          <w:ilvl w:val="0"/>
          <w:numId w:val="1019"/>
        </w:numPr>
      </w:pPr>
      <w:r>
        <w:rPr>
          <w:b/>
          <w:bCs/>
        </w:rPr>
        <w:t xml:space="preserve">Never volunteer that the line was removed</w:t>
      </w:r>
      <w:r>
        <w:t xml:space="preserve">, and never present the removal as a safety finding. It is a correction to a list that carried an item without a basis.</w:t>
      </w:r>
    </w:p>
    <w:p>
      <w:pPr>
        <w:pStyle w:val="Compact"/>
        <w:numPr>
          <w:ilvl w:val="0"/>
          <w:numId w:val="1019"/>
        </w:numPr>
      </w:pPr>
      <w:r>
        <w:rPr>
          <w:b/>
          <w:bCs/>
        </w:rPr>
        <w:t xml:space="preserve">Units already in the field still show it.</w:t>
      </w:r>
      <w:r>
        <w:t xml:space="preserve"> </w:t>
      </w:r>
      <w:r>
        <w:t xml:space="preserve">Anyone who bought before this change has a manual listing Heart/Pacemaker. If they raise it, do not tell them their manual is wrong or that the concern was baseless. Confirm the current list, point them to their doctor, escalate to Scott.</w:t>
      </w:r>
    </w:p>
    <w:p>
      <w:pPr>
        <w:pStyle w:val="FirstParagraph"/>
      </w:pPr>
      <w:r>
        <w:rPr>
          <w:i/>
          <w:iCs/>
        </w:rPr>
        <w:t xml:space="preserve">CONFIDENTIAL - Enyrgy Inc - 5115 N 27th Ave, Bld 66, Phoenix, AZ 85017 - enyrgy.com - Sunlight. Evolved.</w:t>
      </w:r>
    </w:p>
    <w:bookmarkEnd w:id="42"/>
    <w:bookmarkEnd w:id="43"/>
    <w:bookmarkEnd w:id="44"/>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Knowledge Base </w:t>
    </w:r>
    <w:proofErr w:type="gramStart"/>
    <w:r>
      <w:rPr>
        <w:rFonts w:ascii="Montserrat" w:eastAsia="Montserrat" w:hAnsi="Montserrat" w:cs="Montserrat"/>
        <w:b/>
        <w:bCs/>
        <w:color w:val="E64C38"/>
        <w:sz w:val="18"/>
        <w:szCs w:val="18"/>
      </w:rPr>
      <w:t xml:space="preserve">v2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2026-08-28T12:27:03Z</dcterms:created>
  <dcterms:modified xsi:type="dcterms:W3CDTF">2026-08-28T12:27:03Z</dcterms:modified>
</cp:coreProperties>
</file>

<file path=docProps/custom.xml><?xml version="1.0" encoding="utf-8"?>
<Properties xmlns="http://schemas.openxmlformats.org/officeDocument/2006/custom-properties" xmlns:vt="http://schemas.openxmlformats.org/officeDocument/2006/docPropsVTypes"/>
</file>