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v3.9.7 Changes (Session 17, August 25, 2026):</w:t>
      </w:r>
      <w:r>
        <w:t xml:space="preserve"> </w:t>
      </w:r>
      <w:r>
        <w:t xml:space="preserve">Three weeks of drift closed.</w:t>
      </w:r>
      <w:r>
        <w:t xml:space="preserve"> </w:t>
      </w:r>
      <w:r>
        <w:rPr>
          <w:b/>
          <w:bCs/>
        </w:rPr>
        <w:t xml:space="preserve">The dealer deal registration system (WF-40 to WF-43, built August 19) was missing entirely</w:t>
      </w:r>
      <w:r>
        <w:t xml:space="preserve">,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w:t>
      </w:r>
      <w:r>
        <w:t xml:space="preserve"> </w:t>
      </w:r>
      <w:r>
        <w:rPr>
          <w:b/>
          <w:bCs/>
        </w:rPr>
        <w:t xml:space="preserve">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Users</w:t>
            </w:r>
          </w:p>
        </w:tc>
        <w:tc>
          <w:tcPr/>
          <w:p>
            <w:pPr>
              <w:pStyle w:val="Compact"/>
              <w:jc w:val="left"/>
            </w:pPr>
            <w:r>
              <w:t xml:space="preserve">600+</w:t>
            </w:r>
          </w:p>
        </w:tc>
        <w:tc>
          <w:tcPr/>
          <w:p>
            <w:pPr>
              <w:pStyle w:val="Compact"/>
              <w:jc w:val="left"/>
            </w:pPr>
            <w:r>
              <w:t xml:space="preserve">Organic growth, zero paid advertising to date.</w:t>
            </w:r>
            <w:r>
              <w:t xml:space="preserve"> </w:t>
            </w:r>
            <w:r>
              <w:rPr>
                <w:b/>
                <w:bCs/>
              </w:rPr>
              <w:t xml:space="preserve">Say users, not customers</w:t>
            </w:r>
            <w:r>
              <w:t xml:space="preserve">: a home unit supports up to six users, so the two are not interchangeable and</w:t>
            </w:r>
            <w:r>
              <w:t xml:space="preserve"> </w:t>
            </w:r>
            <w:r>
              <w:t xml:space="preserve">“600+ customers”</w:t>
            </w:r>
            <w:r>
              <w:t xml:space="preserve"> </w:t>
            </w:r>
            <w:r>
              <w:t xml:space="preserve">overstates unit sales.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9"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d435e32d4d50adbb3dde89b2f7d1b6ee32f88d"/>
    <w:p>
      <w:pPr>
        <w:pStyle w:val="Heading2"/>
      </w:pPr>
      <w:r>
        <w:t xml:space="preserve">WF-21 through WF-29 (added Sessions 9 to 11,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Numbering gaps.</w:t>
      </w:r>
      <w:r>
        <w:t xml:space="preserve"> </w:t>
      </w:r>
      <w:r>
        <w:rPr>
          <w:b/>
          <w:bCs/>
        </w:rPr>
        <w:t xml:space="preserve">WF-23 and WF-24 do not appear in this register and are not documented anywhere in the repository.</w:t>
      </w:r>
      <w:r>
        <w:t xml:space="preserve"> </w:t>
      </w:r>
      <w:r>
        <w:t xml:space="preserve">Either the numbers were skipped when the block was allocated, or two workflows exist in GHL that nobody has written down.</w:t>
      </w:r>
      <w:r>
        <w:t xml:space="preserve"> </w:t>
      </w:r>
      <w:r>
        <w:rPr>
          <w:b/>
          <w:bCs/>
        </w:rPr>
        <w:t xml:space="preserve">CONFIRM against the live account.</w:t>
      </w:r>
      <w:r>
        <w:t xml:space="preserve"> </w:t>
      </w:r>
      <w:r>
        <w:t xml:space="preserve">WF-36 to WF-39 are likewise unallocated; the dealer registration block starts at WF-40.</w:t>
      </w:r>
    </w:p>
    <w:bookmarkEnd w:id="53"/>
    <w:bookmarkStart w:id="5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w:t>
      </w:r>
      <w:r>
        <w:t xml:space="preserve"> </w:t>
      </w:r>
      <w:r>
        <w:rPr>
          <w:b/>
          <w:bCs/>
        </w:rPr>
        <w:t xml:space="preserve">This is a different program from the facility referral arrangement in Section 19</w:t>
      </w:r>
      <w:r>
        <w:t xml:space="preserve">: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WF-40 Dealer Registration Received</w:t>
            </w:r>
          </w:p>
        </w:tc>
        <w:tc>
          <w:tcPr/>
          <w:p>
            <w:pPr>
              <w:pStyle w:val="Compact"/>
            </w:pPr>
            <w:r>
              <w:rPr>
                <w:b/>
                <w:bCs/>
              </w:rPr>
              <w:t xml:space="preserve">Form is any of</w:t>
            </w:r>
            <w:r>
              <w:t xml:space="preserve"> </w:t>
            </w:r>
            <w:r>
              <w:t xml:space="preserve">(one entry per dealer form)</w:t>
            </w:r>
          </w:p>
        </w:tc>
        <w:tc>
          <w:tcPr/>
          <w:p>
            <w:pPr>
              <w:pStyle w:val="Compact"/>
            </w:pPr>
            <w:r>
              <w:t xml:space="preserve">Create the opportunity, tag it, set</w:t>
            </w:r>
            <w:r>
              <w:t xml:space="preserve"> </w:t>
            </w:r>
            <w:r>
              <w:rPr>
                <w:rStyle w:val="VerbatimChar"/>
              </w:rPr>
              <w:t xml:space="preserve">Source Type = Dealer</w:t>
            </w:r>
            <w:r>
              <w:t xml:space="preserve">, apply</w:t>
            </w:r>
            <w:r>
              <w:t xml:space="preserve"> </w:t>
            </w:r>
            <w:r>
              <w:rPr>
                <w:rStyle w:val="VerbatimChar"/>
              </w:rPr>
              <w:t xml:space="preserve">no_route</w:t>
            </w:r>
            <w:r>
              <w:t xml:space="preserve">, alert Scott</w:t>
            </w:r>
          </w:p>
        </w:tc>
        <w:tc>
          <w:tcPr/>
          <w:p>
            <w:pPr>
              <w:pStyle w:val="Compact"/>
            </w:pPr>
            <w:r>
              <w:rPr>
                <w:b/>
                <w:bCs/>
              </w:rPr>
              <w:t xml:space="preserve">The trigger list is the single point of failure in the whole system.</w:t>
            </w:r>
            <w:r>
              <w:t xml:space="preserve"> </w:t>
            </w:r>
            <w:r>
              <w:t xml:space="preserve">A new dealer form that is not added here fails silently: the opportunity lands in</w:t>
            </w:r>
            <w:r>
              <w:t xml:space="preserve"> </w:t>
            </w:r>
            <w:r>
              <w:rPr>
                <w:rStyle w:val="VerbatimChar"/>
              </w:rPr>
              <w:t xml:space="preserve">Registration Submitted</w:t>
            </w:r>
            <w:r>
              <w:t xml:space="preserve"> </w:t>
            </w:r>
            <w:r>
              <w:t xml:space="preserve">with no tag, no Source Type and no alert, and the facility is not protected from consumer drip because</w:t>
            </w:r>
            <w:r>
              <w:t xml:space="preserve"> </w:t>
            </w:r>
            <w:r>
              <w:rPr>
                <w:rStyle w:val="VerbatimChar"/>
              </w:rPr>
              <w:t xml:space="preserve">no_route</w:t>
            </w:r>
            <w:r>
              <w:t xml:space="preserve"> </w:t>
            </w:r>
            <w:r>
              <w:t xml:space="preserve">never lands. See</w:t>
            </w:r>
            <w:r>
              <w:t xml:space="preserve"> </w:t>
            </w:r>
            <w:r>
              <w:rPr>
                <w:rStyle w:val="VerbatimChar"/>
              </w:rPr>
              <w:t xml:space="preserve">campaigns/dealer-onboarding.md</w:t>
            </w:r>
            <w:r>
              <w:t xml:space="preserve">.</w:t>
            </w:r>
          </w:p>
        </w:tc>
      </w:tr>
      <w:tr>
        <w:tc>
          <w:tcPr/>
          <w:p>
            <w:pPr>
              <w:pStyle w:val="Compact"/>
            </w:pPr>
            <w:r>
              <w:t xml:space="preserve">WF-41 Dealer Registration Approved</w:t>
            </w:r>
          </w:p>
        </w:tc>
        <w:tc>
          <w:tcPr/>
          <w:p>
            <w:pPr>
              <w:pStyle w:val="Compact"/>
            </w:pPr>
            <w:r>
              <w:rPr>
                <w:b/>
                <w:bCs/>
              </w:rPr>
              <w:t xml:space="preserve">Pipeline Stage Changed</w:t>
            </w:r>
            <w:r>
              <w:t xml:space="preserve">, Commercial B2B Pipeline, stage</w:t>
            </w:r>
            <w:r>
              <w:t xml:space="preserve"> </w:t>
            </w:r>
            <w:r>
              <w:rPr>
                <w:rStyle w:val="VerbatimChar"/>
              </w:rPr>
              <w:t xml:space="preserve">Prospect</w:t>
            </w:r>
            <w:r>
              <w:t xml:space="preserve"> </w:t>
            </w:r>
            <w:r>
              <w:t xml:space="preserve">(plus one further condition)</w:t>
            </w:r>
          </w:p>
        </w:tc>
        <w:tc>
          <w:tcPr/>
          <w:p>
            <w:pPr>
              <w:pStyle w:val="Compact"/>
            </w:pPr>
            <w:r>
              <w:t xml:space="preserve">Confirm the registration to the dealer, but only if the clock was actually started</w:t>
            </w:r>
          </w:p>
        </w:tc>
        <w:tc>
          <w:tcPr/>
          <w:p>
            <w:pPr>
              <w:pStyle w:val="Compact"/>
            </w:pPr>
            <w:r>
              <w:t xml:space="preserve">If/Else</w:t>
            </w:r>
            <w:r>
              <w:t xml:space="preserve"> </w:t>
            </w:r>
            <w:r>
              <w:rPr>
                <w:rStyle w:val="VerbatimChar"/>
              </w:rPr>
              <w:t xml:space="preserve">Has the expiry date been set?</w:t>
            </w:r>
            <w:r>
              <w:t xml:space="preserve"> </w:t>
            </w:r>
            <w:r>
              <w:t xml:space="preserve">on</w:t>
            </w:r>
            <w:r>
              <w:t xml:space="preserve"> </w:t>
            </w:r>
            <w:r>
              <w:rPr>
                <w:rStyle w:val="VerbatimChar"/>
              </w:rPr>
              <w:t xml:space="preserve">Exclusivity Expires</w:t>
            </w:r>
            <w:r>
              <w:t xml:space="preserve">.</w:t>
            </w:r>
            <w:r>
              <w:t xml:space="preserve"> </w:t>
            </w:r>
            <w:r>
              <w:rPr>
                <w:b/>
                <w:bCs/>
              </w:rPr>
              <w:t xml:space="preserve">Date is set</w:t>
            </w:r>
            <w:r>
              <w:t xml:space="preserve"> </w:t>
            </w:r>
            <w:r>
              <w:t xml:space="preserve">branch sends</w:t>
            </w:r>
            <w:r>
              <w:t xml:space="preserve"> </w:t>
            </w:r>
            <w:r>
              <w:rPr>
                <w:rStyle w:val="VerbatimChar"/>
              </w:rPr>
              <w:t xml:space="preserve">Confirm registration to dealer</w:t>
            </w:r>
            <w:r>
              <w:t xml:space="preserve">.</w:t>
            </w:r>
            <w:r>
              <w:t xml:space="preserve"> </w:t>
            </w:r>
            <w:r>
              <w:rPr>
                <w:b/>
                <w:bCs/>
              </w:rPr>
              <w:t xml:space="preserve">None</w:t>
            </w:r>
            <w:r>
              <w:t xml:space="preserve"> </w:t>
            </w:r>
            <w:r>
              <w:t xml:space="preserve">branch sends an internal notification instead.</w:t>
            </w:r>
            <w:r>
              <w:t xml:space="preserve"> </w:t>
            </w:r>
            <w:r>
              <w:rPr>
                <w:b/>
                <w:bCs/>
              </w:rPr>
              <w:t xml:space="preserve">This is a deliberate guard:</w:t>
            </w:r>
            <w:r>
              <w:t xml:space="preserve"> </w:t>
            </w:r>
            <w:r>
              <w:t xml:space="preserve">a registration confirmed to a dealer without an expiry date is a claim with no clock, so the workflow refuses to confirm it and tells a human.</w:t>
            </w:r>
          </w:p>
        </w:tc>
      </w:tr>
      <w:tr>
        <w:tc>
          <w:tcPr/>
          <w:p>
            <w:pPr>
              <w:pStyle w:val="Compact"/>
            </w:pPr>
            <w:r>
              <w:t xml:space="preserve">WF-42 Registration Expiry</w:t>
            </w:r>
          </w:p>
        </w:tc>
        <w:tc>
          <w:tcPr/>
          <w:p>
            <w:pPr>
              <w:pStyle w:val="Compact"/>
            </w:pPr>
            <w:r>
              <w:t xml:space="preserve">Wait 76 days, then Wait 14 days, gated on</w:t>
            </w:r>
            <w:r>
              <w:t xml:space="preserve"> </w:t>
            </w:r>
            <w:r>
              <w:rPr>
                <w:rStyle w:val="VerbatimChar"/>
              </w:rPr>
              <w:t xml:space="preserve">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w:t>
            </w:r>
            <w:r>
              <w:t xml:space="preserve"> </w:t>
            </w:r>
            <w:r>
              <w:rPr>
                <w:b/>
                <w:bCs/>
              </w:rPr>
              <w:t xml:space="preserve">GHL date reminders are contact-only and a registration lives on the opportunity</w:t>
            </w:r>
            <w:r>
              <w:t xml:space="preserve">.</w:t>
            </w:r>
          </w:p>
        </w:tc>
      </w:tr>
      <w:tr>
        <w:tc>
          <w:tcPr/>
          <w:p>
            <w:pPr>
              <w:pStyle w:val="Compact"/>
            </w:pPr>
            <w:r>
              <w:t xml:space="preserve">WF-43 Dealer Commission at Close</w:t>
            </w:r>
          </w:p>
        </w:tc>
        <w:tc>
          <w:tcPr/>
          <w:p>
            <w:pPr>
              <w:pStyle w:val="Compact"/>
            </w:pPr>
            <w:r>
              <w:rPr>
                <w:b/>
                <w:bCs/>
              </w:rPr>
              <w:t xml:space="preserve">Pipeline Stage Changed</w:t>
            </w:r>
            <w:r>
              <w:t xml:space="preserve">, Commercial B2B Pipeline, reached</w:t>
            </w:r>
            <w:r>
              <w:t xml:space="preserve"> </w:t>
            </w:r>
            <w:r>
              <w:rPr>
                <w:rStyle w:val="VerbatimChar"/>
              </w:rPr>
              <w:t xml:space="preserve">Contract Signed</w:t>
            </w:r>
            <w:r>
              <w:t xml:space="preserve"> </w:t>
            </w:r>
            <w:r>
              <w:t xml:space="preserve">(plus one further condition)</w:t>
            </w:r>
          </w:p>
        </w:tc>
        <w:tc>
          <w:tcPr/>
          <w:p>
            <w:pPr>
              <w:pStyle w:val="Compact"/>
            </w:pPr>
            <w:r>
              <w:t xml:space="preserve">Mark the deal Won, set the commission tier from the agreed price, alert Scott</w:t>
            </w:r>
          </w:p>
        </w:tc>
        <w:tc>
          <w:tcPr/>
          <w:p>
            <w:pPr>
              <w:pStyle w:val="Compact"/>
            </w:pPr>
            <w:r>
              <w:rPr>
                <w:b/>
                <w:bCs/>
              </w:rPr>
              <w:t xml:space="preserve">Mark as Won runs first</w:t>
            </w:r>
            <w:r>
              <w:t xml:space="preserve">, which is what closes the stage-versus-status gap described in Section 10. Then If/Else</w:t>
            </w:r>
            <w:r>
              <w:t xml:space="preserve"> </w:t>
            </w:r>
            <w:r>
              <w:rPr>
                <w:rStyle w:val="VerbatimChar"/>
              </w:rPr>
              <w:t xml:space="preserve">Which commission tier?</w:t>
            </w:r>
            <w:r>
              <w:t xml:space="preserve"> </w:t>
            </w:r>
            <w:r>
              <w:t xml:space="preserve">branches on</w:t>
            </w:r>
            <w:r>
              <w:t xml:space="preserve"> </w:t>
            </w:r>
            <w:r>
              <w:rPr>
                <w:rStyle w:val="VerbatimChar"/>
              </w:rPr>
              <w:t xml:space="preserve">Agreed Sale Price</w:t>
            </w:r>
            <w:r>
              <w:t xml:space="preserve"> </w:t>
            </w:r>
            <w:r>
              <w:t xml:space="preserve">into 25, 20 and 16 percent, each setting the tier and alerting Scott that commission is payable.</w:t>
            </w:r>
            <w:r>
              <w:t xml:space="preserve"> </w:t>
            </w:r>
            <w:r>
              <w:rPr>
                <w:b/>
                <w:bCs/>
              </w:rPr>
              <w:t xml:space="preserve">The None branch is the safety net:</w:t>
            </w:r>
            <w:r>
              <w:t xml:space="preserve"> </w:t>
            </w:r>
            <w:r>
              <w:t xml:space="preserve">a price below the MAP floor is flagged as below MAP, no commission is set, and Scott is alerted separately.</w:t>
            </w:r>
          </w:p>
        </w:tc>
      </w:tr>
    </w:tbl>
    <w:p>
      <w:pPr>
        <w:pStyle w:val="BodyText"/>
      </w:pPr>
      <w:r>
        <w:rPr>
          <w:b/>
          <w:bCs/>
        </w:rPr>
        <w:t xml:space="preserve">The four workflows hang off Commercial B2B pipeline stage changes.</w:t>
      </w:r>
      <w:r>
        <w:t xml:space="preserve"> </w:t>
      </w:r>
      <w:r>
        <w:t xml:space="preserve">A registration arrives at</w:t>
      </w:r>
      <w:r>
        <w:t xml:space="preserve"> </w:t>
      </w:r>
      <w:r>
        <w:rPr>
          <w:rStyle w:val="VerbatimChar"/>
        </w:rPr>
        <w:t xml:space="preserve">Registration Submitted</w:t>
      </w:r>
      <w:r>
        <w:t xml:space="preserve"> </w:t>
      </w:r>
      <w:r>
        <w:t xml:space="preserve">(WF-40). Someone works the</w:t>
      </w:r>
      <w:r>
        <w:t xml:space="preserve"> </w:t>
      </w:r>
      <w:r>
        <w:rPr>
          <w:rStyle w:val="VerbatimChar"/>
        </w:rPr>
        <w:t xml:space="preserve">Conflict Check</w:t>
      </w:r>
      <w:r>
        <w:t xml:space="preserve"> </w:t>
      </w:r>
      <w:r>
        <w:t xml:space="preserve">stage by hand. Moving the opportunity to</w:t>
      </w:r>
      <w:r>
        <w:t xml:space="preserve"> </w:t>
      </w:r>
      <w:r>
        <w:rPr>
          <w:rStyle w:val="VerbatimChar"/>
        </w:rPr>
        <w:t xml:space="preserve">Prospect</w:t>
      </w:r>
      <w:r>
        <w:t xml:space="preserve"> </w:t>
      </w:r>
      <w:r>
        <w:t xml:space="preserve">is what signals the registration is approved, and that stage change fires WF-41. The 90 day clock then runs while the deal works through</w:t>
      </w:r>
      <w:r>
        <w:t xml:space="preserve"> </w:t>
      </w:r>
      <w:r>
        <w:rPr>
          <w:rStyle w:val="VerbatimChar"/>
        </w:rPr>
        <w:t xml:space="preserve">Discovery</w:t>
      </w:r>
      <w:r>
        <w:t xml:space="preserve"> </w:t>
      </w:r>
      <w:r>
        <w:t xml:space="preserve">to</w:t>
      </w:r>
      <w:r>
        <w:t xml:space="preserve"> </w:t>
      </w:r>
      <w:r>
        <w:rPr>
          <w:rStyle w:val="VerbatimChar"/>
        </w:rPr>
        <w:t xml:space="preserve">Negotiation</w:t>
      </w:r>
      <w:r>
        <w:t xml:space="preserve">, guarded by WF-42. Reaching</w:t>
      </w:r>
      <w:r>
        <w:t xml:space="preserve"> </w:t>
      </w:r>
      <w:r>
        <w:rPr>
          <w:rStyle w:val="VerbatimChar"/>
        </w:rPr>
        <w:t xml:space="preserve">Contract Signed</w:t>
      </w:r>
      <w:r>
        <w:t xml:space="preserve"> </w:t>
      </w:r>
      <w:r>
        <w:t xml:space="preserve">fires WF-43, which marks the deal Won and sets the commission.</w:t>
      </w:r>
    </w:p>
    <w:p>
      <w:pPr>
        <w:pStyle w:val="BodyText"/>
      </w:pPr>
      <w:r>
        <w:rPr>
          <w:rStyle w:val="VerbatimChar"/>
        </w:rPr>
        <w:t xml:space="preserve">Registration Submitted</w:t>
      </w:r>
      <w:r>
        <w:t xml:space="preserve"> </w:t>
      </w:r>
      <w:r>
        <w:t xml:space="preserve">and</w:t>
      </w:r>
      <w:r>
        <w:t xml:space="preserve"> </w:t>
      </w:r>
      <w:r>
        <w:rPr>
          <w:rStyle w:val="VerbatimChar"/>
        </w:rPr>
        <w:t xml:space="preserve">Conflict Check</w:t>
      </w:r>
      <w:r>
        <w:t xml:space="preserve"> </w:t>
      </w:r>
      <w:r>
        <w:t xml:space="preserve">both sit at probability 0 and are excluded from the funnel and pie charts, because a submission that has not cleared conflict is not a deal.</w:t>
      </w:r>
    </w:p>
    <w:p>
      <w:pPr>
        <w:pStyle w:val="BodyText"/>
      </w:pPr>
      <w:r>
        <w:rPr>
          <w:b/>
          <w:bCs/>
        </w:rPr>
        <w:t xml:space="preserve">Both triggers carry a second condition that is not visible in the builder summary. CONFIRM against the live account.</w:t>
      </w:r>
    </w:p>
    <w:p>
      <w:pPr>
        <w:pStyle w:val="BodyText"/>
      </w:pPr>
      <w:r>
        <w:rPr>
          <w:b/>
          <w:bCs/>
        </w:rPr>
        <w:t xml:space="preserve">Registrations run a 90 day clock.</w:t>
      </w:r>
      <w:r>
        <w:t xml:space="preserve"> </w:t>
      </w:r>
      <w:r>
        <w:t xml:space="preserve">A dealer holds attribution on a named facility for 90 days from submission.</w:t>
      </w:r>
    </w:p>
    <w:p>
      <w:pPr>
        <w:pStyle w:val="BodyText"/>
      </w:pPr>
      <w:r>
        <w:rPr>
          <w:b/>
          <w:bCs/>
        </w:rPr>
        <w:t xml:space="preserve">Dealer confirmation email uses Send Internal Notification, not Send Email.</w:t>
      </w:r>
      <w:r>
        <w:t xml:space="preserve"> </w:t>
      </w:r>
      <w:r>
        <w:t xml:space="preserve">GHL’s</w:t>
      </w:r>
      <w:r>
        <w:t xml:space="preserve"> </w:t>
      </w:r>
      <w:r>
        <w:rPr>
          <w:rStyle w:val="VerbatimChar"/>
        </w:rPr>
        <w:t xml:space="preserve">Send Email</w:t>
      </w:r>
      <w:r>
        <w:t xml:space="preserve"> </w:t>
      </w:r>
      <w:r>
        <w:t xml:space="preserve">action can only reach the contact on the record, which on a dealer registration is the</w:t>
      </w:r>
      <w:r>
        <w:t xml:space="preserve"> </w:t>
      </w:r>
      <w:r>
        <w:rPr>
          <w:i/>
          <w:iCs/>
        </w:rPr>
        <w:t xml:space="preserve">facility</w:t>
      </w:r>
      <w:r>
        <w:t xml:space="preserve">, not the dealer. Sending the dealer’s confirmation with</w:t>
      </w:r>
      <w:r>
        <w:t xml:space="preserve"> </w:t>
      </w:r>
      <w:r>
        <w:rPr>
          <w:rStyle w:val="VerbatimChar"/>
        </w:rPr>
        <w:t xml:space="preserve">Send Email</w:t>
      </w:r>
      <w:r>
        <w:t xml:space="preserve"> </w:t>
      </w:r>
      <w:r>
        <w:t xml:space="preserve">delivers it to the prospect. The working build is</w:t>
      </w:r>
      <w:r>
        <w:t xml:space="preserve"> </w:t>
      </w:r>
      <w:r>
        <w:rPr>
          <w:rStyle w:val="VerbatimChar"/>
        </w:rPr>
        <w:t xml:space="preserve">Send Internal Notification</w:t>
      </w:r>
      <w:r>
        <w:t xml:space="preserve"> </w:t>
      </w:r>
      <w:r>
        <w:t xml:space="preserve">with</w:t>
      </w:r>
      <w:r>
        <w:t xml:space="preserve"> </w:t>
      </w:r>
      <w:r>
        <w:rPr>
          <w:rStyle w:val="VerbatimChar"/>
        </w:rPr>
        <w:t xml:space="preserve">To User Type: Custom email</w:t>
      </w:r>
      <w:r>
        <w:t xml:space="preserve"> </w:t>
      </w:r>
      <w:r>
        <w:t xml:space="preserve">and</w:t>
      </w:r>
      <w:r>
        <w:t xml:space="preserve"> </w:t>
      </w:r>
      <w:r>
        <w:rPr>
          <w:rStyle w:val="VerbatimChar"/>
        </w:rPr>
        <w:t xml:space="preserve">{{opportunity.dealer_email}}</w:t>
      </w:r>
      <w:r>
        <w:t xml:space="preserve"> </w:t>
      </w:r>
      <w:r>
        <w:t xml:space="preserve">inserted through the tag picker.</w:t>
      </w:r>
      <w:r>
        <w:t xml:space="preserve"> </w:t>
      </w:r>
      <w:r>
        <w:rPr>
          <w:b/>
          <w:bCs/>
        </w:rPr>
        <w:t xml:space="preserve">Typing the merge field by hand is rejected as invalid; it must be inserted from the picker.</w:t>
      </w:r>
    </w:p>
    <w:p>
      <w:pPr>
        <w:pStyle w:val="BodyText"/>
      </w:pPr>
      <w:r>
        <w:rPr>
          <w:b/>
          <w:bCs/>
        </w:rPr>
        <w:t xml:space="preserve">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w:t>
      </w:r>
      <w:r>
        <w:t xml:space="preserve"> </w:t>
      </w:r>
      <w:r>
        <w:rPr>
          <w:b/>
          <w:bCs/>
        </w:rPr>
        <w:t xml:space="preserve">actual sale price, expressed in USD</w:t>
      </w:r>
      <w:r>
        <w:t xml:space="preserve">, regardless of the dealer’s local currency. The program is</w:t>
      </w:r>
      <w:r>
        <w:t xml:space="preserve"> </w:t>
      </w:r>
      <w:r>
        <w:rPr>
          <w:b/>
          <w:bCs/>
        </w:rPr>
        <w:t xml:space="preserve">not US-only</w:t>
      </w:r>
      <w:r>
        <w:t xml:space="preserve">.</w:t>
      </w:r>
    </w:p>
    <w:bookmarkEnd w:id="55"/>
    <w:bookmarkStart w:id="56" w:name="X2698e74b1af9aaaf59965bb650c04f8b8dcdf99"/>
    <w:p>
      <w:pPr>
        <w:pStyle w:val="Heading2"/>
      </w:pPr>
      <w:r>
        <w:t xml:space="preserve">Opportunity custom fields (Dealer Registration folder, Session 17)</w:t>
      </w:r>
    </w:p>
    <w:p>
      <w:pPr>
        <w:pStyle w:val="FirstParagraph"/>
      </w:pPr>
      <w:r>
        <w:t xml:space="preserve">Held in</w:t>
      </w:r>
      <w:r>
        <w:t xml:space="preserve"> </w:t>
      </w:r>
      <w:r>
        <w:rPr>
          <w:rStyle w:val="VerbatimChar"/>
        </w:rPr>
        <w:t xml:space="preserve">Settings &gt; Custom Fields &gt; Opportunity &gt; Dealer Registration</w:t>
      </w:r>
      <w:r>
        <w:t xml:space="preserve">. These sit on the Opportunity object, not the Contact object, which is why the health-profile fields below are a separate list.</w:t>
      </w:r>
    </w:p>
    <w:p>
      <w:pPr>
        <w:pStyle w:val="Compact"/>
        <w:numPr>
          <w:ilvl w:val="0"/>
          <w:numId w:val="1008"/>
        </w:numPr>
      </w:pPr>
      <w:r>
        <w:rPr>
          <w:rStyle w:val="VerbatimChar"/>
          <w:b/>
          <w:bCs/>
        </w:rPr>
        <w:t xml:space="preserve">Dealer Name</w:t>
      </w:r>
      <w:r>
        <w:t xml:space="preserve"> </w:t>
      </w:r>
      <w:r>
        <w:t xml:space="preserve">(dropdown). Attribution that decides a commission cannot be free text with three spellings of the same company.</w:t>
      </w:r>
    </w:p>
    <w:p>
      <w:pPr>
        <w:pStyle w:val="Compact"/>
        <w:numPr>
          <w:ilvl w:val="0"/>
          <w:numId w:val="1008"/>
        </w:numPr>
      </w:pPr>
      <w:r>
        <w:rPr>
          <w:rStyle w:val="VerbatimChar"/>
          <w:b/>
          <w:bCs/>
        </w:rPr>
        <w:t xml:space="preserve">dealer_email</w:t>
      </w:r>
      <w:r>
        <w:t xml:space="preserve">. Feeds the confirmation notification described above.</w:t>
      </w:r>
    </w:p>
    <w:p>
      <w:pPr>
        <w:pStyle w:val="Compact"/>
        <w:numPr>
          <w:ilvl w:val="0"/>
          <w:numId w:val="1008"/>
        </w:numPr>
      </w:pPr>
      <w:r>
        <w:rPr>
          <w:rStyle w:val="VerbatimChar"/>
          <w:b/>
          <w:bCs/>
        </w:rPr>
        <w:t xml:space="preserve">Source Type</w:t>
      </w:r>
      <w:r>
        <w:t xml:space="preserve">. Set to</w:t>
      </w:r>
      <w:r>
        <w:t xml:space="preserve"> </w:t>
      </w:r>
      <w:r>
        <w:rPr>
          <w:rStyle w:val="VerbatimChar"/>
        </w:rPr>
        <w:t xml:space="preserve">Dealer</w:t>
      </w:r>
      <w:r>
        <w:t xml:space="preserve"> </w:t>
      </w:r>
      <w:r>
        <w:t xml:space="preserve">by WF-40.</w:t>
      </w:r>
    </w:p>
    <w:p>
      <w:pPr>
        <w:pStyle w:val="Compact"/>
        <w:numPr>
          <w:ilvl w:val="0"/>
          <w:numId w:val="1008"/>
        </w:numPr>
      </w:pPr>
      <w:r>
        <w:rPr>
          <w:rStyle w:val="VerbatimChar"/>
          <w:b/>
          <w:bCs/>
        </w:rPr>
        <w:t xml:space="preserve">Exclusivity Expires</w:t>
      </w:r>
      <w:r>
        <w:t xml:space="preserve"> </w:t>
      </w:r>
      <w:r>
        <w:t xml:space="preserve">(Date). The end of the 90 day registration. WF-41 refuses to confirm a registration to a dealer while this is empty.</w:t>
      </w:r>
    </w:p>
    <w:p>
      <w:pPr>
        <w:pStyle w:val="Compact"/>
        <w:numPr>
          <w:ilvl w:val="0"/>
          <w:numId w:val="1008"/>
        </w:numPr>
      </w:pPr>
      <w:r>
        <w:rPr>
          <w:rStyle w:val="VerbatimChar"/>
          <w:b/>
          <w:bCs/>
        </w:rPr>
        <w:t xml:space="preserve">Agreed Sale Price</w:t>
      </w:r>
      <w:r>
        <w:t xml:space="preserve">. WF-43 branches on this to pick the commission tier.</w:t>
      </w:r>
    </w:p>
    <w:p>
      <w:pPr>
        <w:pStyle w:val="Compact"/>
        <w:numPr>
          <w:ilvl w:val="0"/>
          <w:numId w:val="1008"/>
        </w:numPr>
      </w:pPr>
      <w:r>
        <w:t xml:space="preserve">A</w:t>
      </w:r>
      <w:r>
        <w:t xml:space="preserve"> </w:t>
      </w:r>
      <w:r>
        <w:rPr>
          <w:b/>
          <w:bCs/>
        </w:rPr>
        <w:t xml:space="preserve">commission tier</w:t>
      </w:r>
      <w:r>
        <w:t xml:space="preserve"> </w:t>
      </w:r>
      <w:r>
        <w:t xml:space="preserve">field, set to 25, 20 or 16 percent by WF-43, plus a</w:t>
      </w:r>
      <w:r>
        <w:t xml:space="preserve"> </w:t>
      </w:r>
      <w:r>
        <w:rPr>
          <w:b/>
          <w:bCs/>
        </w:rPr>
        <w:t xml:space="preserve">below MAP</w:t>
      </w:r>
      <w:r>
        <w:t xml:space="preserve"> </w:t>
      </w:r>
      <w:r>
        <w:t xml:space="preserve">flag on the None branch. Exact field names:</w:t>
      </w:r>
      <w:r>
        <w:t xml:space="preserve"> </w:t>
      </w:r>
      <w:r>
        <w:rPr>
          <w:b/>
          <w:bCs/>
        </w:rPr>
        <w:t xml:space="preserve">CONFIRM.</w:t>
      </w:r>
    </w:p>
    <w:p>
      <w:pPr>
        <w:pStyle w:val="Compact"/>
        <w:numPr>
          <w:ilvl w:val="0"/>
          <w:numId w:val="1008"/>
        </w:numPr>
      </w:pPr>
      <w:r>
        <w:t xml:space="preserve">Any remaining fields:</w:t>
      </w:r>
      <w:r>
        <w:t xml:space="preserve"> </w:t>
      </w:r>
      <w:r>
        <w:rPr>
          <w:b/>
          <w:bCs/>
        </w:rPr>
        <w:t xml:space="preserve">CONFIRM</w:t>
      </w:r>
      <w:r>
        <w:t xml:space="preserve"> </w:t>
      </w:r>
      <w:r>
        <w:t xml:space="preserve">against</w:t>
      </w:r>
      <w:r>
        <w:t xml:space="preserve"> </w:t>
      </w:r>
      <w:r>
        <w:rPr>
          <w:rStyle w:val="VerbatimChar"/>
        </w:rPr>
        <w:t xml:space="preserve">Settings &gt; Custom Fields &gt; Opportunity &gt; Dealer Registration</w:t>
      </w:r>
      <w:r>
        <w:t xml:space="preserve">.</w:t>
      </w:r>
    </w:p>
    <w:p>
      <w:pPr>
        <w:pStyle w:val="FirstParagraph"/>
      </w:pPr>
      <w:r>
        <w:rPr>
          <w:b/>
          <w:bCs/>
        </w:rPr>
        <w:t xml:space="preserve">There is one registration form per dealer, and this is deliberate.</w:t>
      </w:r>
      <w:r>
        <w:t xml:space="preserve"> </w:t>
      </w:r>
      <w:r>
        <w:t xml:space="preserve">A dropdown shows every option to whoever opens it, so a single shared form would let every dealer read the full roster and infer territory coverage and network size. GHL has no hidden-field option on this form type and its forms API is</w:t>
      </w:r>
      <w:r>
        <w:t xml:space="preserve"> </w:t>
      </w:r>
      <w:r>
        <w:rPr>
          <w:rStyle w:val="VerbatimChar"/>
        </w:rPr>
        <w:t xml:space="preserve">forms.readonly</w:t>
      </w:r>
      <w:r>
        <w:t xml:space="preserve">, so this cannot be automated away inside GHL. The master form is a template: never send it to anyone and never add a real dealer name to it. Full onboarding sequence in</w:t>
      </w:r>
      <w:r>
        <w:t xml:space="preserve"> </w:t>
      </w:r>
      <w:r>
        <w:rPr>
          <w:rStyle w:val="VerbatimChar"/>
        </w:rPr>
        <w:t xml:space="preserve">campaigns/dealer-onboarding.md</w:t>
      </w:r>
      <w:r>
        <w:t xml:space="preserve">.</w:t>
      </w:r>
    </w:p>
    <w:p>
      <w:pPr>
        <w:pStyle w:val="BodyText"/>
      </w:pPr>
      <w:r>
        <w:rPr>
          <w:rStyle w:val="VerbatimChar"/>
          <w:b/>
          <w:bCs/>
        </w:rPr>
        <w:t xml:space="preserve">Unassigned</w:t>
      </w:r>
      <w:r>
        <w:rPr>
          <w:b/>
          <w:bCs/>
        </w:rPr>
        <w:t xml:space="preserve"> </w:t>
      </w:r>
      <w:r>
        <w:rPr>
          <w:b/>
          <w:bCs/>
        </w:rPr>
        <w:t xml:space="preserve">is not a dealer.</w:t>
      </w:r>
      <w:r>
        <w:t xml:space="preserve"> </w:t>
      </w:r>
      <w:r>
        <w:t xml:space="preserve">It marks a registration that lost its attribution and must never be selectable on a live dealer form. 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and is a fault to investigate rather than a record to leave.</w:t>
      </w:r>
    </w:p>
    <w:bookmarkEnd w:id="56"/>
    <w:bookmarkStart w:id="57"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9"/>
        </w:numPr>
      </w:pPr>
      <w:r>
        <w:t xml:space="preserve">WF-12 (Tired Test): https://services.leadconnectorhq.com/hooks/GtXjla7Ld1dordsTWrVy/webhook-trigger/6c3a7c6c-f1fa-4c85-a03a-a1c42fdfb13d</w:t>
      </w:r>
    </w:p>
    <w:p>
      <w:pPr>
        <w:numPr>
          <w:ilvl w:val="0"/>
          <w:numId w:val="1009"/>
        </w:numPr>
      </w:pPr>
      <w:r>
        <w:t xml:space="preserve">WF-15 (Synthesis Gap): https://services.leadconnectorhq.com/hooks/GtXjla7Ld1dordsTWrVy/webhook-trigger/fd32493c-6ec1-4e55-9edb-75399aa53a34</w:t>
      </w:r>
    </w:p>
    <w:p>
      <w:pPr>
        <w:numPr>
          <w:ilvl w:val="0"/>
          <w:numId w:val="1009"/>
        </w:numPr>
      </w:pPr>
      <w:r>
        <w:t xml:space="preserve">WF-18 (Recovery): https://services.leadconnectorhq.com/hooks/GtXjla7Ld1dordsTWrVy/webhook-trigger/3ae538d7-81a9-42a7-9e18-5e7c8b19b84a</w:t>
      </w:r>
    </w:p>
    <w:p>
      <w:pPr>
        <w:numPr>
          <w:ilvl w:val="0"/>
          <w:numId w:val="1009"/>
        </w:numPr>
      </w:pPr>
      <w:r>
        <w:t xml:space="preserve">WF-19 (Winter Protocol): https://services.leadconnectorhq.com/hooks/GtXjla7Ld1dordsTWrVy/webhook-trigger/ad11ef02-14c8-4dbc-b1dd-bb5c9f3203bd</w:t>
      </w:r>
    </w:p>
    <w:p>
      <w:pPr>
        <w:numPr>
          <w:ilvl w:val="0"/>
          <w:numId w:val="1009"/>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7"/>
    <w:bookmarkStart w:id="58" w:name="lead-scoring-model"/>
    <w:p>
      <w:pPr>
        <w:pStyle w:val="Heading2"/>
      </w:pPr>
      <w:r>
        <w:t xml:space="preserve">Lead Scoring Model</w:t>
      </w:r>
    </w:p>
    <w:p>
      <w:pPr>
        <w:pStyle w:val="FirstParagraph"/>
      </w:pPr>
      <w:r>
        <w:t xml:space="preserve">Email Opened +6 · Appointment Confirmed +21 · Contact Reply +11 · Appointment Booked +21.</w:t>
      </w:r>
    </w:p>
    <w:bookmarkEnd w:id="58"/>
    <w:bookmarkEnd w:id="59"/>
    <w:bookmarkStart w:id="6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0"/>
    <w:bookmarkStart w:id="69" w:name="section-14-content-rules-updated-in-v3.7"/>
    <w:p>
      <w:pPr>
        <w:pStyle w:val="Heading1"/>
      </w:pPr>
      <w:r>
        <w:t xml:space="preserve">SECTION 14: CONTENT RULES (UPDATED in v3.7)</w:t>
      </w:r>
    </w:p>
    <w:bookmarkStart w:id="6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1"/>
    <w:bookmarkStart w:id="6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$2.30 (1,300 sessions over 5 years).</w:t>
      </w:r>
    </w:p>
    <w:p>
      <w:pPr>
        <w:numPr>
          <w:ilvl w:val="0"/>
          <w:numId w:val="1011"/>
        </w:numPr>
      </w:pPr>
      <w:r>
        <w:t xml:space="preserve">Order URL: https://shop.enyrgy.com/products/uvb-light-therapy · Device Registration: https://api.enyrgy.com/</w:t>
      </w:r>
    </w:p>
    <w:bookmarkEnd w:id="62"/>
    <w:bookmarkStart w:id="63" w:name="X797d2c75cb682f40ae0a7775fed78efc1f71c46"/>
    <w:p>
      <w:pPr>
        <w:pStyle w:val="Heading2"/>
      </w:pPr>
      <w:r>
        <w:t xml:space="preserve">Mechanics (NEW in v3.9.7, enforced by a gate)</w:t>
      </w:r>
    </w:p>
    <w:p>
      <w:pPr>
        <w:numPr>
          <w:ilvl w:val="0"/>
          <w:numId w:val="1012"/>
        </w:numPr>
      </w:pPr>
      <w:r>
        <w:rPr>
          <w:b/>
          <w:bCs/>
        </w:rPr>
        <w:t xml:space="preserve">US English throughout.</w:t>
      </w:r>
      <w:r>
        <w:t xml:space="preserve"> </w:t>
      </w:r>
      <w:r>
        <w:t xml:space="preserve">No British spellings. Added to</w:t>
      </w:r>
      <w:r>
        <w:t xml:space="preserve"> </w:t>
      </w:r>
      <w:r>
        <w:rPr>
          <w:rStyle w:val="VerbatimChar"/>
        </w:rPr>
        <w:t xml:space="preserve">Enyrgy_Brand_Style_Guide_v2.md</w:t>
      </w:r>
      <w:r>
        <w:t xml:space="preserve"> </w:t>
      </w:r>
      <w:r>
        <w:t xml:space="preserve">section 05 after they appeared twice in client-facing drafts.</w:t>
      </w:r>
    </w:p>
    <w:p>
      <w:pPr>
        <w:numPr>
          <w:ilvl w:val="0"/>
          <w:numId w:val="1012"/>
        </w:numPr>
      </w:pPr>
      <w:r>
        <w:rPr>
          <w:b/>
          <w:bCs/>
        </w:rPr>
        <w:t xml:space="preserve">Enforcement is automatic.</w:t>
      </w:r>
      <w:r>
        <w:t xml:space="preserve"> </w:t>
      </w:r>
      <w:r>
        <w:rPr>
          <w:rStyle w:val="VerbatimChar"/>
        </w:rPr>
        <w:t xml:space="preserve">scripts/md2docx.py</w:t>
      </w:r>
      <w:r>
        <w:t xml:space="preserve"> </w:t>
      </w:r>
      <w:r>
        <w:t xml:space="preserve">checks every brand document for British spellings and em-dashes.</w:t>
      </w:r>
      <w:r>
        <w:t xml:space="preserve"> </w:t>
      </w:r>
      <w:r>
        <w:rPr>
          <w:rStyle w:val="VerbatimChar"/>
        </w:rPr>
        <w:t xml:space="preserve">.githooks/pre-commit</w:t>
      </w:r>
      <w:r>
        <w:t xml:space="preserve"> </w:t>
      </w:r>
      <w:r>
        <w:t xml:space="preserve">blocks any commit introducing either into root-level</w:t>
      </w:r>
      <w:r>
        <w:t xml:space="preserve"> </w:t>
      </w:r>
      <w:r>
        <w:rPr>
          <w:rStyle w:val="VerbatimChar"/>
        </w:rPr>
        <w:t xml:space="preserve">Enyrgy_*.md</w:t>
      </w:r>
      <w:r>
        <w:t xml:space="preserve"> </w:t>
      </w:r>
      <w:r>
        <w:t xml:space="preserve">or</w:t>
      </w:r>
      <w:r>
        <w:t xml:space="preserve"> </w:t>
      </w:r>
      <w:r>
        <w:rPr>
          <w:rStyle w:val="VerbatimChar"/>
        </w:rPr>
        <w:t xml:space="preserve">campaigns/*.md</w:t>
      </w:r>
      <w:r>
        <w:t xml:space="preserve">. Install once per clone with</w:t>
      </w:r>
      <w:r>
        <w:t xml:space="preserve"> </w:t>
      </w:r>
      <w:r>
        <w:rPr>
          <w:rStyle w:val="VerbatimChar"/>
        </w:rPr>
        <w:t xml:space="preserve">git config core.hooksPath .githooks</w:t>
      </w:r>
      <w:r>
        <w:t xml:space="preserve">. Escapes: wrap a legitimate quotation in</w:t>
      </w:r>
      <w:r>
        <w:t xml:space="preserve"> </w:t>
      </w:r>
      <w:r>
        <w:rPr>
          <w:rStyle w:val="VerbatimChar"/>
        </w:rPr>
        <w:t xml:space="preserve">&lt;!-- style-check: ignore --&gt;</w:t>
      </w:r>
      <w:r>
        <w:t xml:space="preserve"> </w:t>
      </w:r>
      <w:r>
        <w:t xml:space="preserve">and</w:t>
      </w:r>
      <w:r>
        <w:t xml:space="preserve"> </w:t>
      </w:r>
      <w:r>
        <w:rPr>
          <w:rStyle w:val="VerbatimChar"/>
        </w:rPr>
        <w:t xml:space="preserve">&lt;!-- style-check: resume --&gt;</w:t>
      </w:r>
      <w:r>
        <w:t xml:space="preserve">, or</w:t>
      </w:r>
      <w:r>
        <w:t xml:space="preserve"> </w:t>
      </w:r>
      <w:r>
        <w:rPr>
          <w:rStyle w:val="VerbatimChar"/>
        </w:rPr>
        <w:t xml:space="preserve">git commit --no-verify</w:t>
      </w:r>
      <w:r>
        <w:t xml:space="preserve">.</w:t>
      </w:r>
    </w:p>
    <w:bookmarkEnd w:id="63"/>
    <w:bookmarkStart w:id="64" w:name="positioning-rules-new-in-v3.9.7"/>
    <w:p>
      <w:pPr>
        <w:pStyle w:val="Heading2"/>
      </w:pPr>
      <w:r>
        <w:t xml:space="preserve">Positioning Rules (NEW in v3.9.7)</w:t>
      </w:r>
    </w:p>
    <w:p>
      <w:pPr>
        <w:numPr>
          <w:ilvl w:val="0"/>
          <w:numId w:val="1013"/>
        </w:numPr>
      </w:pPr>
      <w:r>
        <w:rPr>
          <w:b/>
          <w:bCs/>
        </w:rPr>
        <w:t xml:space="preserve">Never raise the tanning-bed comparison in outbound copy, even to deny it.</w:t>
      </w:r>
      <w:r>
        <w:t xml:space="preserve"> </w:t>
      </w:r>
      <w:r>
        <w:t xml:space="preserve">Naming it plants it. Applied August 18 to WF-22 Touch 2 and WF-13. Answering the comparison when a prospect raises it first is permitted; introducing it is not.</w:t>
      </w:r>
    </w:p>
    <w:p>
      <w:pPr>
        <w:numPr>
          <w:ilvl w:val="0"/>
          <w:numId w:val="1013"/>
        </w:numPr>
      </w:pPr>
      <w:r>
        <w:rPr>
          <w:b/>
          <w:bCs/>
        </w:rPr>
        <w:t xml:space="preserve">The app determines your skin type, it does not read it.</w:t>
      </w:r>
      <w:r>
        <w:t xml:space="preserve"> </w:t>
      </w:r>
      <w:r>
        <w:t xml:space="preserve">Corrected August 13 across the Consumer Drip and the KB.</w:t>
      </w:r>
    </w:p>
    <w:p>
      <w:pPr>
        <w:numPr>
          <w:ilvl w:val="0"/>
          <w:numId w:val="1013"/>
        </w:numPr>
      </w:pPr>
      <w:r>
        <w:rPr>
          <w:b/>
          <w:bCs/>
        </w:rPr>
        <w:t xml:space="preserve">Prevalence, the citable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(Cui et al.,</w:t>
      </w:r>
      <w:r>
        <w:t xml:space="preserve"> </w:t>
      </w:r>
      <w:r>
        <w:rPr>
          <w:i/>
          <w:iCs/>
        </w:rPr>
        <w:t xml:space="preserve">Frontiers in Nutrition</w:t>
      </w:r>
      <w:r>
        <w:t xml:space="preserve"> </w:t>
      </w:r>
      <w:r>
        <w:t xml:space="preserve">2023, PMC10064807).</w:t>
      </w:r>
      <w:r>
        <w:t xml:space="preserve"> </w:t>
      </w:r>
      <w:r>
        <w:rPr>
          <w:b/>
          <w:bCs/>
        </w:rPr>
        <w:t xml:space="preserve">This supersedes the previously unsourced 77 percent figure.</w:t>
      </w:r>
      <w:r>
        <w:t xml:space="preserve"> </w:t>
      </w:r>
      <w:r>
        <w:t xml:space="preserve">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numPr>
          <w:ilvl w:val="0"/>
          <w:numId w:val="1013"/>
        </w:numPr>
      </w:pPr>
      <w:r>
        <w:rPr>
          <w:b/>
          <w:bCs/>
        </w:rPr>
        <w:t xml:space="preserve">The sunny-climate objection has its own source.</w:t>
      </w:r>
      <w:r>
        <w:t xml:space="preserve"> </w:t>
      </w:r>
      <w:r>
        <w:t xml:space="preserve">Palacios and Gonzalez,</w:t>
      </w:r>
      <w:r>
        <w:t xml:space="preserve"> </w:t>
      </w:r>
      <w:r>
        <w:rPr>
          <w:i/>
          <w:iCs/>
        </w:rPr>
        <w:t xml:space="preserve">J Steroid Biochem Mol Biol</w:t>
      </w:r>
      <w:r>
        <w:t xml:space="preserve"> </w:t>
      </w:r>
      <w:r>
        <w:t xml:space="preserve">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numPr>
          <w:ilvl w:val="0"/>
          <w:numId w:val="1013"/>
        </w:numPr>
      </w:pPr>
      <w:r>
        <w:rPr>
          <w:b/>
          <w:bCs/>
        </w:rPr>
        <w:t xml:space="preserve">HSA/FSA: the only authorized phrasing is</w:t>
      </w:r>
      <w:r>
        <w:rPr>
          <w:b/>
          <w:bCs/>
        </w:rPr>
        <w:t xml:space="preserve"> </w:t>
      </w:r>
      <w:r>
        <w:rPr>
          <w:b/>
          <w:bCs/>
        </w:rPr>
        <w:t xml:space="preserve">“HSA/FSA eligible through Truemed”</w:t>
      </w:r>
      <w:r>
        <w:rPr>
          <w:b/>
          <w:bCs/>
        </w:rPr>
        <w:t xml:space="preserve">.</w:t>
      </w:r>
      <w:r>
        <w:t xml:space="preserve"> </w:t>
      </w:r>
      <w:r>
        <w:t xml:space="preserve">Never explain eligibility in condition-or-treatment terms and never describe the Letter of Medical Necessity, regardless of what Truemed’s own copy blocks say.</w:t>
      </w:r>
      <w:r>
        <w:t xml:space="preserve"> </w:t>
      </w:r>
      <w:r>
        <w:rPr>
          <w:b/>
          <w:bCs/>
        </w:rPr>
        <w:t xml:space="preserve">Eligibility covers the Consumer Unit only; the wall mount is excluded.</w:t>
      </w:r>
      <w:r>
        <w:t xml:space="preserve"> </w:t>
      </w:r>
      <w:r>
        <w:t xml:space="preserve">The test is who the buyer of record is: an individual buying their own Consumer Unit at</w:t>
      </w:r>
      <w:r>
        <w:t xml:space="preserve"> </w:t>
      </w:r>
      <w:r>
        <w:rPr>
          <w:rStyle w:val="VerbatimChar"/>
        </w:rPr>
        <w:t xml:space="preserve">shop.enyrgy.com</w:t>
      </w:r>
      <w:r>
        <w:t xml:space="preserve"> </w:t>
      </w:r>
      <w:r>
        <w:t xml:space="preserve">is eligible</w:t>
      </w:r>
      <w:r>
        <w:t xml:space="preserve"> </w:t>
      </w:r>
      <w:r>
        <w:rPr>
          <w:b/>
          <w:bCs/>
        </w:rPr>
        <w:t xml:space="preserve">even when they arrive through a facility’s referral link</w:t>
      </w:r>
      <w:r>
        <w:t xml:space="preserve">,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64"/>
    <w:bookmarkStart w:id="65" w:name="X853e0a91a1e222f2ef618e244a96dd8e18997f9"/>
    <w:p>
      <w:pPr>
        <w:pStyle w:val="Heading2"/>
      </w:pPr>
      <w:r>
        <w:t xml:space="preserve">Health Questions and Contraindications (NEW in v3.9.7)</w:t>
      </w:r>
    </w:p>
    <w:p>
      <w:pPr>
        <w:pStyle w:val="FirstParagraph"/>
      </w:pPr>
      <w:r>
        <w:rPr>
          <w:b/>
          <w:bCs/>
        </w:rPr>
        <w:t xml:space="preserve">KB Section 16 governs any conversation where a person names a health condition, an injury or a medication.</w:t>
      </w:r>
      <w:r>
        <w:t xml:space="preserve"> </w:t>
      </w:r>
      <w:r>
        <w:t xml:space="preserve">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4"/>
        </w:numPr>
      </w:pPr>
      <w:r>
        <w:rPr>
          <w:b/>
          <w:bCs/>
        </w:rPr>
        <w:t xml:space="preserve">Never clear anyone for use</w:t>
      </w:r>
      <w:r>
        <w:t xml:space="preserve">, and never treat absence from the contraindication list as clearance.</w:t>
      </w:r>
    </w:p>
    <w:p>
      <w:pPr>
        <w:pStyle w:val="Compact"/>
        <w:numPr>
          <w:ilvl w:val="0"/>
          <w:numId w:val="1014"/>
        </w:numPr>
      </w:pPr>
      <w:r>
        <w:rPr>
          <w:b/>
          <w:bCs/>
        </w:rPr>
        <w:t xml:space="preserve">Never send the platform’s benefit story as the answer to a health question.</w:t>
      </w:r>
    </w:p>
    <w:p>
      <w:pPr>
        <w:pStyle w:val="Compact"/>
        <w:numPr>
          <w:ilvl w:val="0"/>
          <w:numId w:val="1014"/>
        </w:numPr>
      </w:pPr>
      <w:r>
        <w:rPr>
          <w:b/>
          <w:bCs/>
        </w:rPr>
        <w:t xml:space="preserve">Do not solicit or record health details</w:t>
      </w:r>
      <w:r>
        <w:t xml:space="preserve"> </w:t>
      </w:r>
      <w:r>
        <w:t xml:space="preserve">in GHL custom fields, tags or notes. Escalate instead.</w:t>
      </w:r>
    </w:p>
    <w:p>
      <w:pPr>
        <w:pStyle w:val="Compact"/>
        <w:numPr>
          <w:ilvl w:val="0"/>
          <w:numId w:val="1014"/>
        </w:numPr>
      </w:pPr>
      <w:r>
        <w:rPr>
          <w:b/>
          <w:bCs/>
        </w:rPr>
        <w:t xml:space="preserve">Escalate to Scott</w:t>
      </w:r>
      <w:r>
        <w:t xml:space="preserve"> </w:t>
      </w:r>
      <w:r>
        <w:t xml:space="preserve">whenever a person names a specific condition, a medication, ongoing care, or asks for an arrangement outside a standard purchase.</w:t>
      </w:r>
    </w:p>
    <w:p>
      <w:pPr>
        <w:pStyle w:val="Compact"/>
        <w:numPr>
          <w:ilvl w:val="0"/>
          <w:numId w:val="1014"/>
        </w:numPr>
      </w:pPr>
      <w:r>
        <w:rPr>
          <w:b/>
          <w:bCs/>
        </w:rPr>
        <w:t xml:space="preserve">The contraindication list is the only standing exemption to the prohibited-words scan.</w:t>
      </w:r>
      <w:r>
        <w:t xml:space="preserve"> </w:t>
      </w:r>
      <w:r>
        <w:t xml:space="preserve">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4"/>
        </w:numPr>
      </w:pPr>
      <w:r>
        <w:rPr>
          <w:b/>
          <w:bCs/>
        </w:rPr>
        <w:t xml:space="preserve">Use on intact skin only.</w:t>
      </w:r>
      <w:r>
        <w:t xml:space="preserve"> </w:t>
      </w:r>
      <w:r>
        <w:t xml:space="preserve">Sessions are taken on the torso, on unbroken healthy skin. Never pair the wound-repair research with usage instructions in the same passage.</w:t>
      </w:r>
    </w:p>
    <w:bookmarkEnd w:id="65"/>
    <w:bookmarkStart w:id="66" w:name="brand-standards-new-in-v3.7-locked"/>
    <w:p>
      <w:pPr>
        <w:pStyle w:val="Heading2"/>
      </w:pPr>
      <w:r>
        <w:t xml:space="preserve">Brand Standards (NEW in v3.7, locked)</w:t>
      </w:r>
    </w:p>
    <w:p>
      <w:pPr>
        <w:numPr>
          <w:ilvl w:val="0"/>
          <w:numId w:val="1015"/>
        </w:numPr>
      </w:pPr>
      <w:r>
        <w:t xml:space="preserve">Accent: Sunrise Orange #E64C38 only (NO violet/purple/amber).</w:t>
      </w:r>
    </w:p>
    <w:p>
      <w:pPr>
        <w:numPr>
          <w:ilvl w:val="0"/>
          <w:numId w:val="1015"/>
        </w:numPr>
      </w:pPr>
      <w:r>
        <w:t xml:space="preserve">Typography: Montserrat, all weights (Bely Bold Italic unavailable -&gt; all-Montserrat).</w:t>
      </w:r>
    </w:p>
    <w:p>
      <w:pPr>
        <w:numPr>
          <w:ilvl w:val="0"/>
          <w:numId w:val="1015"/>
        </w:numPr>
      </w:pPr>
      <w:r>
        <w:t xml:space="preserve">Text: Deep Charcoal #1A1A1A. Panels: Warm Off-White #F7F4EE, Calm Beige #ECE4CF. Line #E2DBC9. Muted #6B6B66.</w:t>
      </w:r>
    </w:p>
    <w:p>
      <w:pPr>
        <w:numPr>
          <w:ilvl w:val="0"/>
          <w:numId w:val="1015"/>
        </w:numPr>
      </w:pPr>
      <w:r>
        <w:t xml:space="preserve">Approved terms: BioCalibrated Sunshine™ (personalized-dosing/skin-type angle), Triple-Pathway Advantage™.</w:t>
      </w:r>
    </w:p>
    <w:bookmarkEnd w:id="66"/>
    <w:bookmarkStart w:id="67"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7"/>
    <w:bookmarkStart w:id="68"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8"/>
    <w:bookmarkEnd w:id="69"/>
    <w:bookmarkStart w:id="7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$2.30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70"/>
    <w:bookmarkStart w:id="73" w:name="section-16-commercial-roi-model"/>
    <w:p>
      <w:pPr>
        <w:pStyle w:val="Heading1"/>
      </w:pPr>
      <w:r>
        <w:t xml:space="preserve">SECTION 16: COMMERCIAL ROI MODEL</w:t>
      </w:r>
    </w:p>
    <w:bookmarkStart w:id="71"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1"/>
    <w:bookmarkStart w:id="72"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2"/>
    <w:bookmarkEnd w:id="73"/>
    <w:bookmarkStart w:id="74"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p>
      <w:pPr>
        <w:pStyle w:val="BodyText"/>
      </w:pPr>
      <w:r>
        <w:rPr>
          <w:b/>
          <w:bCs/>
        </w:rPr>
        <w:t xml:space="preserve">Current company valuation: $10M</w:t>
      </w:r>
      <w:r>
        <w:t xml:space="preserve"> </w:t>
      </w:r>
      <w:r>
        <w:t xml:space="preserve">(recorded August 16, 2026). 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4"/>
    <w:bookmarkStart w:id="76"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Start w:id="75"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Point</w:t>
            </w:r>
          </w:p>
        </w:tc>
        <w:tc>
          <w:tcPr/>
          <w:p>
            <w:pPr>
              <w:pStyle w:val="Compact"/>
            </w:pPr>
            <w:r>
              <w:t xml:space="preserve">Value</w:t>
            </w:r>
          </w:p>
        </w:tc>
        <w:tc>
          <w:tcPr/>
          <w:p>
            <w:pPr>
              <w:pStyle w:val="Compact"/>
            </w:pPr>
            <w: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w:t>
            </w:r>
            <w:r>
              <w:t xml:space="preserve"> </w:t>
            </w:r>
            <w:r>
              <w:rPr>
                <w:b/>
                <w:bCs/>
              </w:rPr>
              <w:t xml:space="preserve">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75"/>
    <w:bookmarkEnd w:id="76"/>
    <w:bookmarkStart w:id="80" w:name="X17ff4415c04741fc8a2aa7a70f1e07a23764a6c"/>
    <w:p>
      <w:pPr>
        <w:pStyle w:val="Heading1"/>
      </w:pPr>
      <w:r>
        <w:t xml:space="preserve">SECTION 19: OEM / WHITE-LABEL PARTNER PROGRAM</w:t>
      </w:r>
    </w:p>
    <w:bookmarkStart w:id="77"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7"/>
    <w:bookmarkStart w:id="78" w:name="Xb9fc2bd3abb295fbc0fc3f6e5c1fe9fe826a6b0"/>
    <w:p>
      <w:pPr>
        <w:pStyle w:val="Heading2"/>
      </w:pPr>
      <w:r>
        <w:t xml:space="preserve">Facility Referral Arrangement (ESCALATE TO SCOTT)</w:t>
      </w:r>
    </w:p>
    <w:p>
      <w:pPr>
        <w:pStyle w:val="FirstParagraph"/>
      </w:pPr>
      <w:r>
        <w:rPr>
          <w:b/>
          <w:bCs/>
        </w:rPr>
        <w:t xml:space="preserve">Agents must not run this conversation.</w:t>
      </w:r>
      <w:r>
        <w:t xml:space="preserve"> </w:t>
      </w:r>
      <w:r>
        <w:t xml:space="preserve">Scott handles referral arrangements personally (decision, August 14, 2026).</w:t>
      </w:r>
    </w:p>
    <w:p>
      <w:pPr>
        <w:pStyle w:val="BodyText"/>
      </w:pP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w:t>
      </w:r>
    </w:p>
    <w:p>
      <w:pPr>
        <w:pStyle w:val="BodyText"/>
      </w:pPr>
      <w:r>
        <w:rPr>
          <w:b/>
          <w:bCs/>
        </w:rPr>
        <w:t xml:space="preserve">The commission is $600 per Consumer Unit sale.</w:t>
      </w:r>
      <w:r>
        <w:t xml:space="preserve"> </w:t>
      </w:r>
      <w:r>
        <w:t xml:space="preserve">This figure appears in Commercial Drip Touch 7, so a facility that received that email already has it. An agent may confirm the figure if a facility quotes it back, but</w:t>
      </w:r>
      <w:r>
        <w:t xml:space="preserve"> </w:t>
      </w:r>
      <w:r>
        <w:rPr>
          <w:b/>
          <w:bCs/>
        </w:rPr>
        <w:t xml:space="preserve">must not negotiate, extend, or discuss terms.</w:t>
      </w:r>
      <w:r>
        <w:t xml:space="preserve"> </w:t>
      </w:r>
      <w:r>
        <w:t xml:space="preserve">Hand off to Scott, the same as white-label and distribution.</w:t>
      </w:r>
    </w:p>
    <w:p>
      <w:pPr>
        <w:pStyle w:val="BodyText"/>
      </w:pPr>
      <w:r>
        <w:t xml:space="preserve">Because the member is the buyer of record, that purchase is HSA/FSA eligible. The referral link does not change whose purchase it is. See the HSA/FSA rules in Section 14.</w:t>
      </w:r>
    </w:p>
    <w:p>
      <w:pPr>
        <w:pStyle w:val="BodyText"/>
      </w:pPr>
      <w:r>
        <w:rPr>
          <w:b/>
          <w:bCs/>
        </w:rPr>
        <w:t xml:space="preserve">This is not the dealer program.</w:t>
      </w:r>
      <w:r>
        <w:t xml:space="preserve"> </w:t>
      </w:r>
      <w:r>
        <w:t xml:space="preserve">Dealers resell the $8,950 commercial unit and earn 25 to 16 percent under the deal registration system in Section 12. The two are separate and should never be described in the same breath to a prospect.</w:t>
      </w:r>
    </w:p>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Operators charge $40-$75/session.</w:t>
      </w:r>
    </w:p>
    <w:p>
      <w:pPr>
        <w:numPr>
          <w:ilvl w:val="0"/>
          <w:numId w:val="1019"/>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2026-08-26T05:12:43Z</dcterms:created>
  <dcterms:modified xsi:type="dcterms:W3CDTF">2026-08-26T05:12:43Z</dcterms:modified>
</cp:coreProperties>
</file>

<file path=docProps/custom.xml><?xml version="1.0" encoding="utf-8"?>
<Properties xmlns="http://schemas.openxmlformats.org/officeDocument/2006/custom-properties" xmlns:vt="http://schemas.openxmlformats.org/officeDocument/2006/docPropsVTypes"/>
</file>