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pPr>
        <w:pStyle w:val="BodyText"/>
      </w:pPr>
      <w:r>
        <w:rPr>
          <w:b/>
          <w:bCs/>
        </w:rPr>
        <w:t xml:space="preserve">If a person names a health condition, an injury, or a medication, stop and read section 16 before replying.</w:t>
      </w:r>
      <w:r>
        <w:t xml:space="preserve"> </w:t>
      </w:r>
      <w:r>
        <w:t xml:space="preserve">Never clear anyone for use, and never treat absence from the contraindication list as clearance.</w:t>
      </w:r>
    </w:p>
    <w:bookmarkStart w:id="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w:t>
      </w:r>
      <w:r>
        <w:t xml:space="preserve"> </w:t>
      </w:r>
      <w:r>
        <w:t xml:space="preserve">“600+ customers”</w:t>
      </w:r>
      <w:r>
        <w:t xml:space="preserve"> </w:t>
      </w:r>
      <w:r>
        <w:t xml:space="preserve">overstates unit sales. Use</w:t>
      </w:r>
      <w:r>
        <w:t xml:space="preserve"> </w:t>
      </w:r>
      <w:r>
        <w:t xml:space="preserve">“600+ users”</w:t>
      </w:r>
      <w:r>
        <w:t xml:space="preserve"> </w:t>
      </w:r>
      <w:r>
        <w:t xml:space="preserve">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(fractional CFO).</w:t>
      </w:r>
    </w:p>
    <w:p>
      <w:pPr>
        <w:pStyle w:val="Compact"/>
        <w:numPr>
          <w:ilvl w:val="0"/>
          <w:numId w:val="1001"/>
        </w:numPr>
      </w:pPr>
      <w:r>
        <w:t xml:space="preserve">Founder track record (verified, investor-facing): Scott Hansbury,</w:t>
      </w:r>
      <w:r>
        <w:t xml:space="preserve"> </w:t>
      </w:r>
      <w:r>
        <w:rPr>
          <w:b/>
          <w:bCs/>
        </w:rPr>
        <w:t xml:space="preserve">five exits from his previous eight startups totaling $500M+ in enterprise value, plus eleven M&amp;A transactions led, buy-side and sell-side, representing an additional $249M</w:t>
      </w:r>
      <w:r>
        <w:t xml:space="preserve"> </w:t>
      </w:r>
      <w:r>
        <w:t xml:space="preserve">(confirmed by Scott, 2026-08-25). Enyrgy is his ninth startup.</w:t>
      </w:r>
      <w:r>
        <w:t xml:space="preserve"> </w:t>
      </w:r>
      <w:r>
        <w:rPr>
          <w:b/>
          <w:bCs/>
        </w:rPr>
        <w:t xml:space="preserve">State the two figures separately and never combine them into a single total</w:t>
      </w:r>
      <w:r>
        <w:t xml:space="preserve">, since they describe different work: the $500M is exit value from companies he founded or helped build, the $249M is transaction value from deals he led. David Letourneau, scaled Alair Homes from 1 to 100+ locations, $750M+ in sales.</w:t>
      </w:r>
      <w:r>
        <w:t xml:space="preserve"> </w:t>
      </w:r>
      <w:r>
        <w:rPr>
          <w:b/>
          <w:bCs/>
        </w:rPr>
        <w:t xml:space="preserve">Brian Cameron, fractional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9"/>
    <w:bookmarkStart w:id="1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w:t>
      </w:r>
      <w:r>
        <w:t xml:space="preserve">“no other solution delivers all three”</w:t>
      </w:r>
      <w:r>
        <w:t xml:space="preserv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10"/>
    <w:bookmarkStart w:id="1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rented monthly, or purchased with HSA/FSA funds through Truemed, so it can fit a monthly budget instead of a lump sum. Financing and rental are both real, offered options; specific rates and terms are not yet in the KB, so confirm with the KB Manager before quoting any figure.</w:t>
      </w:r>
      <w:r>
        <w:t xml:space="preserve"> </w:t>
      </w:r>
      <w:r>
        <w:rPr>
          <w:b/>
          <w:bCs/>
        </w:rPr>
        <w:t xml:space="preserve">HSA/FSA (approved August 2026):</w:t>
      </w:r>
      <w:r>
        <w:t xml:space="preserve"> </w:t>
      </w:r>
      <w:r>
        <w:t xml:space="preserve">the only authorized phrasing is</w:t>
      </w:r>
      <w:r>
        <w:t xml:space="preserve"> </w:t>
      </w:r>
      <w:r>
        <w:t xml:space="preserve">“HSA/FSA eligible through Truemed”</w:t>
      </w:r>
      <w:r>
        <w:t xml:space="preserve">. Never explain eligibility in condition-or-treatment terms and never describe the Letter of Medical Necessity. That framing is prohibited regardless of what Truemed’s own copy blocks say.</w:t>
      </w:r>
      <w:r>
        <w:t xml:space="preserve"> </w:t>
      </w:r>
      <w:r>
        <w:rPr>
          <w:b/>
          <w:bCs/>
        </w:rPr>
        <w:t xml:space="preserve">Eligibility covers the Consumer Unit only. The wall mount is excluded</w:t>
      </w:r>
      <w:r>
        <w:t xml:space="preserve">, so never imply cart-wide eligibility. The commercial unit is out of scope entirely: a facility purchase is a business expense, not a personal medical one.</w:t>
      </w:r>
      <w:r>
        <w:t xml:space="preserve"> </w:t>
      </w:r>
      <w:r>
        <w:rPr>
          <w:b/>
          <w:bCs/>
        </w:rPr>
        <w:t xml:space="preserve">Facility and commercial, confirmed by Truemed August 2026. The test is who the buyer of record is:</w:t>
      </w:r>
    </w:p>
    <w:p>
      <w:pPr>
        <w:pStyle w:val="Compact"/>
        <w:numPr>
          <w:ilvl w:val="1"/>
          <w:numId w:val="1004"/>
        </w:numPr>
      </w:pPr>
      <w:r>
        <w:rPr>
          <w:b/>
          <w:bCs/>
        </w:rPr>
        <w:t xml:space="preserve">NOT eligible:</w:t>
      </w:r>
      <w:r>
        <w:t xml:space="preserve"> </w:t>
      </w:r>
      <w:r>
        <w:t xml:space="preserve">a facility buying units for its business, and any membership or session fees that include Enyrgy access. Those are business expenses, or a membership, not a personal medical purchase. This is what Truemed ruled out.</w:t>
      </w:r>
    </w:p>
    <w:p>
      <w:pPr>
        <w:pStyle w:val="Compact"/>
        <w:numPr>
          <w:ilvl w:val="1"/>
          <w:numId w:val="1004"/>
        </w:numPr>
      </w:pPr>
      <w:r>
        <w:rPr>
          <w:b/>
          <w:bCs/>
        </w:rPr>
        <w:t xml:space="preserve">ELIGIBLE:</w:t>
      </w:r>
      <w:r>
        <w:t xml:space="preserve"> </w:t>
      </w:r>
      <w:r>
        <w:t xml:space="preserve">an individual buying their own Consumer Unit directly at</w:t>
      </w:r>
      <w:r>
        <w:t xml:space="preserve"> </w:t>
      </w:r>
      <w:r>
        <w:rPr>
          <w:rStyle w:val="VerbatimChar"/>
        </w:rPr>
        <w:t xml:space="preserve">shop.enyrgy.com</w:t>
      </w:r>
      <w:r>
        <w:t xml:space="preserve">,</w:t>
      </w:r>
      <w:r>
        <w:t xml:space="preserve"> </w:t>
      </w:r>
      <w:r>
        <w:rPr>
          <w:b/>
          <w:bCs/>
        </w:rPr>
        <w:t xml:space="preserve">including when they arrive through a facility’s unique referral link</w:t>
      </w:r>
      <w:r>
        <w:t xml:space="preserve">. The facility earns commission on that sale but is not the purchaser; the transaction is consumer to Enyrgy, which makes it the same direct consumer purchase as any other order. A facility may tell its members this.</w:t>
      </w:r>
    </w:p>
    <w:p>
      <w:pPr>
        <w:pStyle w:val="Compact"/>
        <w:numPr>
          <w:ilvl w:val="1"/>
          <w:numId w:val="1004"/>
        </w:numPr>
      </w:pPr>
      <w:r>
        <w:t xml:space="preserve">Never suggest routing a facility’s own purchase through an individual to obtain eligibility. The distinction is whose purchase it is, not which link was used.</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w:t>
      </w:r>
      <w:r>
        <w:t xml:space="preserve"> </w:t>
      </w:r>
      <w:r>
        <w:t xml:space="preserve">“Limited batches”</w:t>
      </w:r>
      <w:r>
        <w:t xml:space="preserve"> </w:t>
      </w:r>
      <w:r>
        <w:t xml:space="preserve">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5"/>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5"/>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11"/>
    <w:bookmarkStart w:id="13" w:name="clinical-and-credibility-data"/>
    <w:p>
      <w:pPr>
        <w:pStyle w:val="Heading2"/>
      </w:pPr>
      <w:r>
        <w:t xml:space="preserve">4. Clinical and credibility data</w:t>
      </w:r>
    </w:p>
    <w:p>
      <w:pPr>
        <w:pStyle w:val="Compact"/>
        <w:numPr>
          <w:ilvl w:val="0"/>
          <w:numId w:val="1006"/>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6"/>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6"/>
        </w:numPr>
      </w:pPr>
      <w:r>
        <w:rPr>
          <w:b/>
          <w:bCs/>
        </w:rPr>
        <w:t xml:space="preserve">Never call it a pilot.</w:t>
      </w:r>
      <w:r>
        <w:t xml:space="preserve"> </w:t>
      </w:r>
      <w:r>
        <w:t xml:space="preserve">Use study, small study, or observational cohort.</w:t>
      </w:r>
      <w:r>
        <w:t xml:space="preserve"> </w:t>
      </w:r>
      <w:r>
        <w:t xml:space="preserve">“Pilot”</w:t>
      </w:r>
      <w:r>
        <w:t xml:space="preserve"> </w:t>
      </w:r>
      <w:r>
        <w:t xml:space="preserve">implies a pre-launch or beta program, and this study ran months after Enyrgy went to full production in the market. The word understates the product’s maturity while doing nothing to improve the honesty of the caveat, which</w:t>
      </w:r>
      <w:r>
        <w:t xml:space="preserve"> </w:t>
      </w:r>
      <w:r>
        <w:t xml:space="preserve">“small, N = 5, no control group”</w:t>
      </w:r>
      <w:r>
        <w:t xml:space="preserve"> </w:t>
      </w:r>
      <w:r>
        <w:t xml:space="preserve">already carries in full.</w:t>
      </w:r>
    </w:p>
    <w:p>
      <w:pPr>
        <w:pStyle w:val="Compact"/>
        <w:numPr>
          <w:ilvl w:val="0"/>
          <w:numId w:val="1006"/>
        </w:numPr>
      </w:pPr>
      <w:r>
        <w:rPr>
          <w:b/>
          <w:bCs/>
        </w:rPr>
        <w:t xml:space="preserve">Write</w:t>
      </w:r>
      <w:r>
        <w:rPr>
          <w:b/>
          <w:bCs/>
        </w:rPr>
        <w:t xml:space="preserve"> </w:t>
      </w:r>
      <w:r>
        <w:rPr>
          <w:b/>
          <w:bCs/>
        </w:rPr>
        <w:t xml:space="preserve">“the five participants,”</w:t>
      </w:r>
      <w:r>
        <w:rPr>
          <w:b/>
          <w:bCs/>
        </w:rPr>
        <w:t xml:space="preserve"> </w:t>
      </w:r>
      <w:r>
        <w:rPr>
          <w:b/>
          <w:bCs/>
        </w:rPr>
        <w:t xml:space="preserve">not</w:t>
      </w:r>
      <w:r>
        <w:rPr>
          <w:b/>
          <w:bCs/>
        </w:rPr>
        <w:t xml:space="preserve"> </w:t>
      </w:r>
      <w:r>
        <w:rPr>
          <w:b/>
          <w:bCs/>
        </w:rPr>
        <w:t xml:space="preserve">“five participants.”</w:t>
      </w:r>
      <w:r>
        <w:t xml:space="preserve"> </w:t>
      </w:r>
      <w:r>
        <w:t xml:space="preserve">Without the article the sentence reads as though a larger cohort was studied and only five of them responded.</w:t>
      </w:r>
    </w:p>
    <w:p>
      <w:pPr>
        <w:pStyle w:val="Compact"/>
        <w:numPr>
          <w:ilvl w:val="0"/>
          <w:numId w:val="1006"/>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6"/>
        </w:numPr>
      </w:pPr>
      <w:r>
        <w:t xml:space="preserve">Efficiency: 2.4x more efficient than sunlight for Vitamin D synthesis; 2 to 4 minutes equals 2 to 4 hours of mid-day sun (about 60x).</w:t>
      </w:r>
    </w:p>
    <w:p>
      <w:pPr>
        <w:pStyle w:val="Compact"/>
        <w:numPr>
          <w:ilvl w:val="0"/>
          <w:numId w:val="1006"/>
        </w:numPr>
      </w:pPr>
      <w:r>
        <w:t xml:space="preserve">Safety:</w:t>
      </w:r>
      <w:r>
        <w:t xml:space="preserve"> </w:t>
      </w:r>
      <w:r>
        <w:rPr>
          <w:b/>
          <w:bCs/>
        </w:rPr>
        <w:t xml:space="preserve">the contraindication list and the rules for inbound health questions are in section 16, and they govern any conversation where a person names a condition, an injury, or a medication.</w:t>
      </w:r>
      <w:r>
        <w:t xml:space="preserve"> </w:t>
      </w:r>
      <w:r>
        <w:t xml:space="preserve">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6"/>
        </w:numPr>
      </w:pPr>
      <w:r>
        <w:t xml:space="preserve">Return rate under 1 percent, roughly 5 to 10x better than the industry average.</w:t>
      </w:r>
    </w:p>
    <w:bookmarkStart w:id="1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r>
        <w:t xml:space="preserve"> </w:t>
      </w:r>
      <w:r>
        <w:t xml:space="preserve">-</w:t>
      </w:r>
      <w:r>
        <w:t xml:space="preserve"> </w:t>
      </w:r>
      <w:r>
        <w:rPr>
          <w:b/>
          <w:bCs/>
        </w:rPr>
        <w:t xml:space="preserve">Prevalence, the citable number. This supersedes the previously unsourced</w:t>
      </w:r>
      <w:r>
        <w:rPr>
          <w:b/>
          <w:bCs/>
        </w:rPr>
        <w:t xml:space="preserve"> </w:t>
      </w:r>
      <w:r>
        <w:rPr>
          <w:b/>
          <w:bCs/>
        </w:rPr>
        <w:t xml:space="preserve">“77 percent”</w:t>
      </w:r>
      <w:r>
        <w:rPr>
          <w:b/>
          <w:bCs/>
        </w:rPr>
        <w:t xml:space="preserve"> </w:t>
      </w:r>
      <w:r>
        <w:rPr>
          <w:b/>
          <w:bCs/>
        </w:rPr>
        <w:t xml:space="preserve">figure.</w:t>
      </w:r>
      <w:r>
        <w:t xml:space="preserve"> </w:t>
      </w:r>
      <w:r>
        <w:t xml:space="preserve">In a 2023 pooled analysis of 308 population-based studies across 81 countries and 7.9 million participants aged 1 and over,</w:t>
      </w:r>
      <w:r>
        <w:t xml:space="preserve"> </w:t>
      </w:r>
      <w:r>
        <w:rPr>
          <w:b/>
          <w:bCs/>
        </w:rPr>
        <w:t xml:space="preserve">76.6 percent had serum 25(OH)D below 30 ng/mL</w:t>
      </w:r>
      <w:r>
        <w:t xml:space="preserve"> </w:t>
      </w:r>
      <w:r>
        <w:t xml:space="preserve">(75 nmol/L; 95% CrI 74.0 to 79.1). Also reported: 47.9 percent below 20 ng/mL and 15.7 percent below 12 ng/mL. (Cui A, Zhang T, Xiao P, Fan Z, Wang H, Zhuang Y.</w:t>
      </w:r>
      <w:r>
        <w:t xml:space="preserve"> </w:t>
      </w:r>
      <w:r>
        <w:t xml:space="preserve">“Global and regional prevalence of vitamin D deficiency in population-based studies from 2000 to 2022.”</w:t>
      </w:r>
      <w:r>
        <w:t xml:space="preserve"> </w:t>
      </w:r>
      <w:r>
        <w:rPr>
          <w:i/>
          <w:iCs/>
        </w:rPr>
        <w:t xml:space="preserve">Frontiers in Nutrition</w:t>
      </w:r>
      <w:r>
        <w:t xml:space="preserve"> </w:t>
      </w:r>
      <w:r>
        <w:t xml:space="preserve">2023; PMC10064807, free to read.)</w:t>
      </w:r>
      <w:r>
        <w:t xml:space="preserve"> </w:t>
      </w:r>
      <w:r>
        <w:rPr>
          <w:b/>
          <w:bCs/>
        </w:rPr>
        <w:t xml:space="preserve">Three rules for stating it.</w:t>
      </w:r>
      <w:r>
        <w:t xml:space="preserve"> </w:t>
      </w:r>
      <w:r>
        <w:t xml:space="preserve">(1) Below 30 ng/mL is</w:t>
      </w:r>
      <w:r>
        <w:t xml:space="preserve"> </w:t>
      </w:r>
      <w:r>
        <w:rPr>
          <w:b/>
          <w:bCs/>
        </w:rPr>
        <w:t xml:space="preserve">insufficiency or low vitamin D status</w:t>
      </w:r>
      <w:r>
        <w:t xml:space="preserve">, not universally accepted</w:t>
      </w:r>
      <w:r>
        <w:t xml:space="preserve"> </w:t>
      </w:r>
      <w:r>
        <w:t xml:space="preserve">“deficiency”</w:t>
      </w:r>
      <w:r>
        <w:t xml:space="preserve">. Never call 76.6 percent a deficiency rate. (2) The population is</w:t>
      </w:r>
      <w:r>
        <w:t xml:space="preserve"> </w:t>
      </w:r>
      <w:r>
        <w:rPr>
          <w:b/>
          <w:bCs/>
        </w:rPr>
        <w:t xml:space="preserve">global and aged 1 and over</w:t>
      </w:r>
      <w:r>
        <w:t xml:space="preserve">, so say</w:t>
      </w:r>
      <w:r>
        <w:t xml:space="preserve"> </w:t>
      </w:r>
      <w:r>
        <w:t xml:space="preserve">“people”</w:t>
      </w:r>
      <w:r>
        <w:t xml:space="preserve">, never</w:t>
      </w:r>
      <w:r>
        <w:t xml:space="preserve"> </w:t>
      </w:r>
      <w:r>
        <w:t xml:space="preserve">“adults”</w:t>
      </w:r>
      <w:r>
        <w:t xml:space="preserve">, never</w:t>
      </w:r>
      <w:r>
        <w:t xml:space="preserve"> </w:t>
      </w:r>
      <w:r>
        <w:t xml:space="preserve">“Americans”</w:t>
      </w:r>
      <w:r>
        <w:t xml:space="preserve">, never</w:t>
      </w:r>
      <w:r>
        <w:t xml:space="preserve"> </w:t>
      </w:r>
      <w:r>
        <w:t xml:space="preserve">“indoor”</w:t>
      </w:r>
      <w:r>
        <w:t xml:space="preserve">. (3) The authors report high heterogeneity between pooled studies; do not present the figure as a precise national rate.</w:t>
      </w:r>
      <w:r>
        <w:t xml:space="preserve"> </w:t>
      </w:r>
      <w:r>
        <w:rPr>
          <w:b/>
          <w:bCs/>
        </w:rPr>
        <w:t xml:space="preserve">Approved short forms:</w:t>
      </w:r>
      <w:r>
        <w:t xml:space="preserve"> </w:t>
      </w:r>
      <w:r>
        <w:t xml:space="preserve">“about three-quarters of people have vitamin D below 30 ng/mL”</w:t>
      </w:r>
      <w:r>
        <w:t xml:space="preserve"> </w:t>
      </w:r>
      <w:r>
        <w:t xml:space="preserve">or</w:t>
      </w:r>
      <w:r>
        <w:t xml:space="preserve"> </w:t>
      </w:r>
      <w:r>
        <w:t xml:space="preserve">“76.6 percent of people worldwide are below 30 ng/mL”</w:t>
      </w:r>
      <w:r>
        <w:t xml:space="preserve">.</w:t>
      </w:r>
      <w:r>
        <w:t xml:space="preserve"> </w:t>
      </w:r>
      <w:r>
        <w:t xml:space="preserve">-</w:t>
      </w:r>
      <w:r>
        <w:t xml:space="preserve"> </w:t>
      </w:r>
      <w:r>
        <w:rPr>
          <w:b/>
          <w:bCs/>
        </w:rPr>
        <w:t xml:space="preserve">Sunny climates do not prevent it (use this for the sun objection):</w:t>
      </w:r>
      <w:r>
        <w:t xml:space="preserve"> </w:t>
      </w:r>
      <w:r>
        <w:t xml:space="preserve">low vitamin D status is a problem even in countries with sun exposure all year round (Palacios C, Gonzalez L.</w:t>
      </w:r>
      <w:r>
        <w:t xml:space="preserve"> </w:t>
      </w:r>
      <w:r>
        <w:t xml:space="preserve">“Is vitamin D deficiency a major global public health problem?”</w:t>
      </w:r>
      <w:r>
        <w:t xml:space="preserve"> </w:t>
      </w:r>
      <w:r>
        <w:rPr>
          <w:i/>
          <w:iCs/>
        </w:rPr>
        <w:t xml:space="preserve">J Steroid Biochem Mol Biol</w:t>
      </w:r>
      <w:r>
        <w:t xml:space="preserve"> </w:t>
      </w:r>
      <w:r>
        <w:t xml:space="preserve">2014; PMC4018438, free to read). The paper’s own Highlights state it verbatim:</w:t>
      </w:r>
      <w:r>
        <w:t xml:space="preserve"> </w:t>
      </w:r>
      <w:r>
        <w:rPr>
          <w:b/>
          <w:bCs/>
        </w:rPr>
        <w:t xml:space="preserve">“Low vitamin D status is a problem even in countries with sun exposure all year round.”</w:t>
      </w:r>
      <w:r>
        <w:t xml:space="preserve"> </w:t>
      </w:r>
      <w:r>
        <w:t xml:space="preserve">Quote that line as written.</w:t>
      </w:r>
      <w:r>
        <w:t xml:space="preserve"> </w:t>
      </w:r>
      <w:r>
        <w:rPr>
          <w:b/>
          <w:bCs/>
        </w:rPr>
        <w:t xml:space="preserve">Three limits.</w:t>
      </w:r>
      <w:r>
        <w:t xml:space="preserve"> </w:t>
      </w:r>
      <w:r>
        <w:t xml:space="preserve">(1) It reports prevalence by region, age group and threshold and gives no single headline figure, so it CANNOT source the 77 percent. (2) It says nothing about UVB devices or phototherapy, so never present it as support for the platform itself, only for the problem. (3) 2014 data: fine for establishing that the phenomenon exists, not for current prevalence.</w:t>
      </w:r>
    </w:p>
    <w:bookmarkEnd w:id="12"/>
    <w:bookmarkEnd w:id="13"/>
    <w:bookmarkStart w:id="1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7"/>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7"/>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7"/>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14"/>
    <w:bookmarkStart w:id="15" w:name="X2416962bbe798b4d07d64a796f71649a000b8ee"/>
    <w:p>
      <w:pPr>
        <w:pStyle w:val="Heading2"/>
      </w:pPr>
      <w:r>
        <w:t xml:space="preserve">6. Approved talking points (voiced, use as written)</w:t>
      </w:r>
    </w:p>
    <w:p>
      <w:pPr>
        <w:pStyle w:val="Compact"/>
        <w:numPr>
          <w:ilvl w:val="0"/>
          <w:numId w:val="1008"/>
        </w:numPr>
      </w:pPr>
      <w:r>
        <w:t xml:space="preserve">Every human body was meant to thrive on sunlight. We just made it safe, personalized and controllable. (Standard Description, do not alter.)</w:t>
      </w:r>
    </w:p>
    <w:p>
      <w:pPr>
        <w:pStyle w:val="Compact"/>
        <w:numPr>
          <w:ilvl w:val="0"/>
          <w:numId w:val="1008"/>
        </w:numPr>
      </w:pPr>
      <w:r>
        <w:t xml:space="preserve">Get your body responding to sunlight the way it was meant to.</w:t>
      </w:r>
    </w:p>
    <w:p>
      <w:pPr>
        <w:pStyle w:val="Compact"/>
        <w:numPr>
          <w:ilvl w:val="0"/>
          <w:numId w:val="1008"/>
        </w:numPr>
      </w:pPr>
      <w:r>
        <w:t xml:space="preserve">Three biological pathways, switched on in 2 to 4 minutes.</w:t>
      </w:r>
    </w:p>
    <w:p>
      <w:pPr>
        <w:pStyle w:val="Compact"/>
        <w:numPr>
          <w:ilvl w:val="0"/>
          <w:numId w:val="1008"/>
        </w:numPr>
      </w:pPr>
      <w:r>
        <w:t xml:space="preserve">25,000+ sessions with zero adverse events.</w:t>
      </w:r>
    </w:p>
    <w:p>
      <w:pPr>
        <w:pStyle w:val="Compact"/>
        <w:numPr>
          <w:ilvl w:val="0"/>
          <w:numId w:val="1008"/>
        </w:numPr>
      </w:pPr>
      <w:r>
        <w:t xml:space="preserve">In our clinical study, 100 percent of participants reached optimal Vitamin D levels.</w:t>
      </w:r>
    </w:p>
    <w:p>
      <w:pPr>
        <w:pStyle w:val="Compact"/>
        <w:numPr>
          <w:ilvl w:val="0"/>
          <w:numId w:val="1008"/>
        </w:numPr>
      </w:pPr>
      <w:r>
        <w:t xml:space="preserve">2.4x more efficient than sunlight for Vitamin D synthesis.</w:t>
      </w:r>
    </w:p>
    <w:p>
      <w:pPr>
        <w:pStyle w:val="Compact"/>
        <w:numPr>
          <w:ilvl w:val="0"/>
          <w:numId w:val="1008"/>
        </w:numPr>
      </w:pPr>
      <w:r>
        <w:t xml:space="preserve">The app determines your skin type, sets your dose, and ends the session for you.</w:t>
      </w:r>
    </w:p>
    <w:p>
      <w:pPr>
        <w:pStyle w:val="Compact"/>
        <w:numPr>
          <w:ilvl w:val="0"/>
          <w:numId w:val="1008"/>
        </w:numPr>
      </w:pPr>
      <w:r>
        <w:t xml:space="preserve">Under 1 percent of people send it back. The industry lives at 5 to 10 percent.</w:t>
      </w:r>
    </w:p>
    <w:p>
      <w:pPr>
        <w:pStyle w:val="Compact"/>
        <w:numPr>
          <w:ilvl w:val="0"/>
          <w:numId w:val="1008"/>
        </w:numPr>
      </w:pPr>
      <w:r>
        <w:t xml:space="preserve">Built in Phoenix, Arizona. Made in USA.</w:t>
      </w:r>
    </w:p>
    <w:p>
      <w:pPr>
        <w:pStyle w:val="Compact"/>
        <w:numPr>
          <w:ilvl w:val="0"/>
          <w:numId w:val="1008"/>
        </w:numPr>
      </w:pPr>
      <w:r>
        <w:t xml:space="preserve">600+ users, 5 countries, zero paid ads.</w:t>
      </w:r>
    </w:p>
    <w:p>
      <w:pPr>
        <w:pStyle w:val="Compact"/>
        <w:numPr>
          <w:ilvl w:val="0"/>
          <w:numId w:val="1008"/>
        </w:numPr>
      </w:pPr>
      <w:r>
        <w:t xml:space="preserve">Lumanova picked our technology to launch their own light, Luma D Light.</w:t>
      </w:r>
    </w:p>
    <w:p>
      <w:pPr>
        <w:pStyle w:val="Compact"/>
        <w:numPr>
          <w:ilvl w:val="0"/>
          <w:numId w:val="1008"/>
        </w:numPr>
      </w:pPr>
      <w:r>
        <w:t xml:space="preserve">$2,995 to own it at home. $8,950 for the commercial unit.</w:t>
      </w:r>
    </w:p>
    <w:p>
      <w:pPr>
        <w:pStyle w:val="Compact"/>
        <w:numPr>
          <w:ilvl w:val="0"/>
          <w:numId w:val="1008"/>
        </w:numPr>
      </w:pPr>
      <w:r>
        <w:t xml:space="preserve">That is $2.30 a session at 5 a week over 5 years.</w:t>
      </w:r>
    </w:p>
    <w:p>
      <w:pPr>
        <w:pStyle w:val="Compact"/>
        <w:numPr>
          <w:ilvl w:val="0"/>
          <w:numId w:val="1008"/>
        </w:numPr>
      </w:pPr>
      <w:r>
        <w:t xml:space="preserve">90 percent of our customers run red light too. Different jobs, same routine.</w:t>
      </w:r>
    </w:p>
    <w:p>
      <w:pPr>
        <w:pStyle w:val="Compact"/>
        <w:numPr>
          <w:ilvl w:val="0"/>
          <w:numId w:val="1008"/>
        </w:numPr>
      </w:pPr>
      <w:r>
        <w:t xml:space="preserve">Sunlight. Evolved.</w:t>
      </w:r>
    </w:p>
    <w:bookmarkEnd w:id="15"/>
    <w:bookmarkStart w:id="16" w:name="objection-scripts-voiced"/>
    <w:p>
      <w:pPr>
        <w:pStyle w:val="Heading2"/>
      </w:pPr>
      <w:r>
        <w:t xml:space="preserve">7. Objection scripts (voiced)</w:t>
      </w:r>
    </w:p>
    <w:p>
      <w:pPr>
        <w:pStyle w:val="FirstParagraph"/>
      </w:pPr>
      <w:r>
        <w:rPr>
          <w:b/>
          <w:bCs/>
        </w:rPr>
        <w:t xml:space="preserve">Consumer</w:t>
      </w:r>
    </w:p>
    <w:p>
      <w:pPr>
        <w:pStyle w:val="Compact"/>
        <w:numPr>
          <w:ilvl w:val="0"/>
          <w:numId w:val="1009"/>
        </w:numPr>
      </w:pPr>
      <w:r>
        <w:t xml:space="preserve">Is this safe? Fair worry. Sunlight is about 95 percent UVA. We flipped it: over 90 percent UVB, under 10 percent UVA. The app determines your skin type, sets your personal dose, and ends the session for you. 25,000+ sessions in, zero burns, zero adverse events.</w:t>
      </w:r>
    </w:p>
    <w:p>
      <w:pPr>
        <w:pStyle w:val="Compact"/>
        <w:numPr>
          <w:ilvl w:val="0"/>
          <w:numId w:val="1009"/>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9"/>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9"/>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9"/>
        </w:numPr>
      </w:pPr>
      <w:r>
        <w:t xml:space="preserve">We get plenty of sun here. Fair assumption, and testing settles it faster than arguing. Indoor work, sunscreen and window glass all block UVB at any latitude. A 2014 global review in the Journal of Steroid Biochemistry and Molecular Biology concluded that low vitamin D status is a problem even in countries with sun exposure all year round.</w:t>
      </w:r>
    </w:p>
    <w:p>
      <w:pPr>
        <w:pStyle w:val="Compact"/>
        <w:numPr>
          <w:ilvl w:val="0"/>
          <w:numId w:val="1009"/>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10"/>
        </w:numPr>
      </w:pPr>
      <w:r>
        <w:t xml:space="preserve">We already have red light. Ninety percent of our customers use both. They do different biological jobs, so this sits alongside what you already offer instead of replacing it.</w:t>
      </w:r>
    </w:p>
    <w:p>
      <w:pPr>
        <w:pStyle w:val="Compact"/>
        <w:numPr>
          <w:ilvl w:val="0"/>
          <w:numId w:val="1010"/>
        </w:numPr>
      </w:pPr>
      <w:r>
        <w:t xml:space="preserve">Would clients pay? About three-quarters of people have vitamin D below 30 ng/mL, so the demand is already in your book. Operators are charging $49 to $125 a month for it, depending on their market and clientele.</w:t>
      </w:r>
    </w:p>
    <w:p>
      <w:pPr>
        <w:pStyle w:val="Compact"/>
        <w:numPr>
          <w:ilvl w:val="0"/>
          <w:numId w:val="1010"/>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1"/>
        </w:numPr>
      </w:pPr>
      <w:r>
        <w:t xml:space="preserve">Where is the equity upside? There is a conversion option at a 20 percent discount to an independent SEC valuation.</w:t>
      </w:r>
    </w:p>
    <w:p>
      <w:pPr>
        <w:pStyle w:val="Compact"/>
        <w:numPr>
          <w:ilvl w:val="0"/>
          <w:numId w:val="1011"/>
        </w:numPr>
      </w:pPr>
      <w:r>
        <w:t xml:space="preserve">Is this a crowded market? It looks crowded until you line up the mechanisms. Nobody else delivers all three pathways. We are a category of one.</w:t>
      </w:r>
    </w:p>
    <w:p>
      <w:pPr>
        <w:pStyle w:val="Compact"/>
        <w:numPr>
          <w:ilvl w:val="0"/>
          <w:numId w:val="1011"/>
        </w:numPr>
      </w:pPr>
      <w:r>
        <w:t xml:space="preserve">What is the exit? A strategic acquisition in the $100 to 150M range within 5 years. Natural buyers look like Philips, Apple Health, Peloton, AG1, or LVMH.</w:t>
      </w:r>
    </w:p>
    <w:bookmarkEnd w:id="16"/>
    <w:bookmarkStart w:id="17"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w:t>
      </w:r>
      <w:r>
        <w:t xml:space="preserve"> </w:t>
      </w:r>
      <w:r>
        <w:t xml:space="preserve">“in these trials”</w:t>
      </w:r>
      <w:r>
        <w:t xml:space="preserve"> </w:t>
      </w:r>
      <w:r>
        <w:t xml:space="preserve">or</w:t>
      </w:r>
      <w:r>
        <w:t xml:space="preserve"> </w:t>
      </w:r>
      <w:r>
        <w:t xml:space="preserve">“in the trials”</w:t>
      </w:r>
      <w:r>
        <w:t xml:space="preserve"> </w:t>
      </w:r>
      <w:r>
        <w:t xml:space="preserve">in copy: lifted out of this KB the citation stays behind and the phrase reads as though Enyrgy ran them. Investor-facing copy may name them as the Carlberg trials. (Carlberg,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17"/>
    <w:bookmarkStart w:id="18" w:name="brand-constants-locked"/>
    <w:p>
      <w:pPr>
        <w:pStyle w:val="Heading2"/>
      </w:pPr>
      <w:r>
        <w:t xml:space="preserve">9. Brand constants (locked)</w:t>
      </w:r>
    </w:p>
    <w:p>
      <w:pPr>
        <w:pStyle w:val="Compact"/>
        <w:numPr>
          <w:ilvl w:val="0"/>
          <w:numId w:val="1012"/>
        </w:numPr>
      </w:pPr>
      <w:r>
        <w:t xml:space="preserve">Accent: Sunrise Orange #E64C38 only. No violet, purple, or amber.</w:t>
      </w:r>
    </w:p>
    <w:p>
      <w:pPr>
        <w:pStyle w:val="Compact"/>
        <w:numPr>
          <w:ilvl w:val="0"/>
          <w:numId w:val="1012"/>
        </w:numPr>
      </w:pPr>
      <w:r>
        <w:t xml:space="preserve">Typography: Montserrat, all weights.</w:t>
      </w:r>
    </w:p>
    <w:p>
      <w:pPr>
        <w:pStyle w:val="Compact"/>
        <w:numPr>
          <w:ilvl w:val="0"/>
          <w:numId w:val="1012"/>
        </w:numPr>
      </w:pPr>
      <w:r>
        <w:t xml:space="preserve">Text: Deep Charcoal #1A1A1A. Panels: Warm Off-White #F7F4EE, Calm Beige #ECE4CF. Line #E2DBC9. Muted #6B6B66.</w:t>
      </w:r>
    </w:p>
    <w:p>
      <w:pPr>
        <w:pStyle w:val="Compact"/>
        <w:numPr>
          <w:ilvl w:val="0"/>
          <w:numId w:val="1012"/>
        </w:numPr>
      </w:pPr>
      <w:r>
        <w:t xml:space="preserve">Tagline:</w:t>
      </w:r>
      <w:r>
        <w:t xml:space="preserve"> </w:t>
      </w:r>
      <w:r>
        <w:t xml:space="preserve">“Sunlight. Evolved.”</w:t>
      </w:r>
    </w:p>
    <w:p>
      <w:pPr>
        <w:pStyle w:val="Compact"/>
        <w:numPr>
          <w:ilvl w:val="0"/>
          <w:numId w:val="1012"/>
        </w:numPr>
      </w:pPr>
      <w:r>
        <w:t xml:space="preserve">Voice: peer-to-peer, founder-to-peer. No em-dashes ever; use a comma, period, or rewrite. No icons or decorative glyphs.</w:t>
      </w:r>
    </w:p>
    <w:p>
      <w:pPr>
        <w:pStyle w:val="Compact"/>
        <w:numPr>
          <w:ilvl w:val="0"/>
          <w:numId w:val="1012"/>
        </w:numPr>
      </w:pPr>
      <w:r>
        <w:t xml:space="preserve">Age minimum for all audiences: 18.</w:t>
      </w:r>
    </w:p>
    <w:bookmarkEnd w:id="18"/>
    <w:bookmarkStart w:id="1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19"/>
    <w:bookmarkStart w:id="2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w:t>
      </w:r>
      <w:r>
        <w:t xml:space="preserve"> </w:t>
      </w:r>
      <w:r>
        <w:rPr>
          <w:b/>
          <w:bCs/>
        </w:rPr>
        <w:t xml:space="preserve">Enyrgy is a wellness device, not medical, and makes no medical claims.</w:t>
      </w:r>
    </w:p>
    <w:p>
      <w:pPr>
        <w:pStyle w:val="BodyText"/>
      </w:pPr>
      <w:r>
        <w:rPr>
          <w:b/>
          <w:bCs/>
        </w:rPr>
        <w:t xml:space="preserve">One exemption: the contraindication list in section 16.</w:t>
      </w:r>
      <w:r>
        <w:t xml:space="preserve"> </w:t>
      </w:r>
      <w:r>
        <w:t xml:space="preserve">It is a safety disclosure and must go out verbatim,</w:t>
      </w:r>
      <w:r>
        <w:t xml:space="preserve"> </w:t>
      </w:r>
      <w:r>
        <w:t xml:space="preserve">“diagnosed”</w:t>
      </w:r>
      <w:r>
        <w:t xml:space="preserve"> </w:t>
      </w:r>
      <w:r>
        <w:t xml:space="preserve">and all. Scrubbing it to pass this scan breaks it.</w:t>
      </w:r>
    </w:p>
    <w:bookmarkEnd w:id="20"/>
    <w:bookmarkStart w:id="2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21"/>
    <w:bookmarkStart w:id="22" w:name="investor-offering-details"/>
    <w:p>
      <w:pPr>
        <w:pStyle w:val="Heading2"/>
      </w:pPr>
      <w:r>
        <w:t xml:space="preserve">13. Investor offering details</w:t>
      </w:r>
    </w:p>
    <w:p>
      <w:pPr>
        <w:pStyle w:val="Compact"/>
        <w:numPr>
          <w:ilvl w:val="0"/>
          <w:numId w:val="1013"/>
        </w:numPr>
      </w:pPr>
      <w:r>
        <w:t xml:space="preserve">Structure: Private Credit, Promissory Note.</w:t>
      </w:r>
    </w:p>
    <w:p>
      <w:pPr>
        <w:pStyle w:val="Compact"/>
        <w:numPr>
          <w:ilvl w:val="0"/>
          <w:numId w:val="1013"/>
        </w:numPr>
      </w:pPr>
      <w:r>
        <w:rPr>
          <w:b/>
          <w:bCs/>
        </w:rPr>
        <w:t xml:space="preserve">Current company valuation: $10M.</w:t>
      </w:r>
      <w:r>
        <w:t xml:space="preserve"> </w:t>
      </w:r>
      <w:r>
        <w:t xml:space="preserve">This is the company’s present valuation. It is</w:t>
      </w:r>
      <w:r>
        <w:t xml:space="preserve"> </w:t>
      </w:r>
      <w:r>
        <w:rPr>
          <w:b/>
          <w:bCs/>
        </w:rPr>
        <w:t xml:space="preserve">not</w:t>
      </w:r>
      <w:r>
        <w:t xml:space="preserve"> </w:t>
      </w:r>
      <w:r>
        <w:t xml:space="preserve">the basis for the conversion discount below, which discounts from an independent SEC valuation obtained at the time of conversion. Do not present $10M as a conversion price or imply the two are the same number.</w:t>
      </w:r>
    </w:p>
    <w:p>
      <w:pPr>
        <w:pStyle w:val="Compact"/>
        <w:numPr>
          <w:ilvl w:val="0"/>
          <w:numId w:val="1013"/>
        </w:numPr>
      </w:pPr>
      <w:r>
        <w:t xml:space="preserve">Total raise: $3.5M. Minimum: $50,000. Return: 12 percent per annum. Term: 3 years.</w:t>
      </w:r>
    </w:p>
    <w:p>
      <w:pPr>
        <w:pStyle w:val="Compact"/>
        <w:numPr>
          <w:ilvl w:val="0"/>
          <w:numId w:val="1013"/>
        </w:numPr>
      </w:pPr>
      <w:r>
        <w:t xml:space="preserve">Interest paid quarterly (postponed the first 3 months).</w:t>
      </w:r>
    </w:p>
    <w:p>
      <w:pPr>
        <w:pStyle w:val="Compact"/>
        <w:numPr>
          <w:ilvl w:val="0"/>
          <w:numId w:val="1013"/>
        </w:numPr>
      </w:pPr>
      <w:r>
        <w:t xml:space="preserve">Conversion option: at investor discretion, 20 percent discount from an independent SEC valuation.</w:t>
      </w:r>
    </w:p>
    <w:p>
      <w:pPr>
        <w:pStyle w:val="Compact"/>
        <w:numPr>
          <w:ilvl w:val="0"/>
          <w:numId w:val="1013"/>
        </w:numPr>
      </w:pPr>
      <w:r>
        <w:t xml:space="preserve">Exit target: $100 to 150M in 5 years.</w:t>
      </w:r>
    </w:p>
    <w:p>
      <w:pPr>
        <w:pStyle w:val="Compact"/>
        <w:numPr>
          <w:ilvl w:val="0"/>
          <w:numId w:val="1013"/>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22"/>
    <w:bookmarkStart w:id="23" w:name="oem-partner-lumanova-luma-d-light"/>
    <w:p>
      <w:pPr>
        <w:pStyle w:val="Heading2"/>
      </w:pPr>
      <w:r>
        <w:t xml:space="preserve">14. OEM partner (Lumanova / Luma D Light)</w:t>
      </w:r>
    </w:p>
    <w:p>
      <w:pPr>
        <w:pStyle w:val="Compact"/>
        <w:numPr>
          <w:ilvl w:val="0"/>
          <w:numId w:val="1014"/>
        </w:numPr>
      </w:pPr>
      <w:r>
        <w:t xml:space="preserve">Partner: Lumanova. Product brand: Luma D Light. Pricing: same MSRP ($2,995 / $8,950).</w:t>
      </w:r>
    </w:p>
    <w:p>
      <w:pPr>
        <w:pStyle w:val="Compact"/>
        <w:numPr>
          <w:ilvl w:val="0"/>
          <w:numId w:val="1014"/>
        </w:numPr>
      </w:pPr>
      <w:r>
        <w:t xml:space="preserve">Arrangement: OEM white-label; Lumanova sells under their brand, Enyrgy manufactures. Exclusivity: Black Unit.</w:t>
      </w:r>
    </w:p>
    <w:p>
      <w:pPr>
        <w:pStyle w:val="Compact"/>
        <w:numPr>
          <w:ilvl w:val="0"/>
          <w:numId w:val="1014"/>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4"/>
        </w:numPr>
      </w:pPr>
      <w:r>
        <w:t xml:space="preserve">Any OEM matter escalates through the CEO to the human founders.</w:t>
      </w:r>
    </w:p>
    <w:p>
      <w:pPr>
        <w:pStyle w:val="Compact"/>
        <w:numPr>
          <w:ilvl w:val="0"/>
          <w:numId w:val="1014"/>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p>
      <w:pPr>
        <w:pStyle w:val="Compact"/>
        <w:numPr>
          <w:ilvl w:val="0"/>
          <w:numId w:val="1014"/>
        </w:numPr>
      </w:pPr>
      <w:r>
        <w:rPr>
          <w:b/>
          <w:bCs/>
        </w:rPr>
        <w:t xml:space="preserve">Facility referral arrangement: ESCALATE TO SCOTT. Do not run this conversation.</w:t>
      </w:r>
      <w:r>
        <w:t xml:space="preserve"> </w:t>
      </w:r>
      <w:r>
        <w:t xml:space="preserve">A facility hands its members a unique referral link to</w:t>
      </w:r>
      <w:r>
        <w:t xml:space="preserve"> </w:t>
      </w:r>
      <w:r>
        <w:rPr>
          <w:rStyle w:val="VerbatimChar"/>
        </w:rPr>
        <w:t xml:space="preserve">shop.enyrgy.com</w:t>
      </w:r>
      <w:r>
        <w:t xml:space="preserve">; the member purchases directly from Enyrgy at the $2,995 MSRP and the facility is credited a commission. The facility carries no inventory and buys nothing. Because the member is the buyer of record, that purchase is HSA/FSA eligible (see §3). The referral link does not change whose purchase it is.</w:t>
      </w:r>
    </w:p>
    <w:p>
      <w:pPr>
        <w:pStyle w:val="Compact"/>
        <w:numPr>
          <w:ilvl w:val="1"/>
          <w:numId w:val="1015"/>
        </w:numPr>
      </w:pPr>
      <w:r>
        <w:rPr>
          <w:b/>
          <w:bCs/>
        </w:rPr>
        <w:t xml:space="preserve">The commission is $600 per Consumer Unit sale, and this figure appears in Commercial Drip Touch 7</w:t>
      </w:r>
      <w:r>
        <w:t xml:space="preserve">, so a facility that received that email already has it. An agent may therefore confirm the figure if a facility quotes it back, but</w:t>
      </w:r>
      <w:r>
        <w:t xml:space="preserve"> </w:t>
      </w:r>
      <w:r>
        <w:rPr>
          <w:b/>
          <w:bCs/>
        </w:rPr>
        <w:t xml:space="preserve">must not negotiate, extend, or discuss terms</w:t>
      </w:r>
      <w:r>
        <w:t xml:space="preserve">. Hand off to Scott, same as white-label and distribution. Scott handles referral arrangements personally (decision, Aug 14 2026).</w:t>
      </w:r>
    </w:p>
    <w:bookmarkEnd w:id="23"/>
    <w:bookmarkStart w:id="24" w:name="X4c841973e31ed136422f0c15a4f362a6c73c44a"/>
    <w:p>
      <w:pPr>
        <w:pStyle w:val="Heading2"/>
      </w:pPr>
      <w:r>
        <w:t xml:space="preserve">14b. Commercial dealer program (ESCALATE TO SCOTT)</w:t>
      </w:r>
    </w:p>
    <w:p>
      <w:pPr>
        <w:pStyle w:val="FirstParagraph"/>
      </w:pPr>
      <w:r>
        <w:rPr>
          <w:b/>
          <w:bCs/>
        </w:rPr>
        <w:t xml:space="preserve">Agents must not run a dealer conversation.</w:t>
      </w:r>
      <w:r>
        <w:t xml:space="preserve"> </w:t>
      </w:r>
      <w:r>
        <w:t xml:space="preserve">Terms, territory and registration are Scott’s, the same as white-label, distribution and the facility referral arrangement above. An agent may explain that the program exists and hand off. Nothing below is a negotiating position.</w:t>
      </w:r>
    </w:p>
    <w:p>
      <w:pPr>
        <w:pStyle w:val="BodyText"/>
      </w:pPr>
      <w:r>
        <w:rPr>
          <w:b/>
          <w:bCs/>
        </w:rPr>
        <w:t xml:space="preserve">What it is.</w:t>
      </w:r>
      <w:r>
        <w:t xml:space="preserve"> </w:t>
      </w:r>
      <w:r>
        <w:t xml:space="preserve">Dealers resell the</w:t>
      </w:r>
      <w:r>
        <w:t xml:space="preserve"> </w:t>
      </w:r>
      <w:r>
        <w:rPr>
          <w:b/>
          <w:bCs/>
        </w:rPr>
        <w:t xml:space="preserve">$8,950 commercial unit</w:t>
      </w:r>
      <w:r>
        <w:t xml:space="preserve"> </w:t>
      </w:r>
      <w:r>
        <w:t xml:space="preserve">and earn a commission on the final sale price. This is</w:t>
      </w:r>
      <w:r>
        <w:t xml:space="preserve"> </w:t>
      </w:r>
      <w:r>
        <w:rPr>
          <w:b/>
          <w:bCs/>
        </w:rPr>
        <w:t xml:space="preserve">not</w:t>
      </w:r>
      <w:r>
        <w:t xml:space="preserve"> </w:t>
      </w:r>
      <w:r>
        <w:t xml:space="preserve">the facility referral arrangement in section 14, which pays $600 on a $2,995 consumer unit that the member buys directly from Enyrgy. Different product, different terms, different people. Never describe the two in the same breath to a prospect.</w:t>
      </w:r>
    </w:p>
    <w:p>
      <w:pPr>
        <w:pStyle w:val="BodyText"/>
      </w:pPr>
      <w:r>
        <w:rPr>
          <w:b/>
          <w:bCs/>
        </w:rPr>
        <w:t xml:space="preserve">Not US-only.</w:t>
      </w:r>
      <w:r>
        <w:t xml:space="preserve"> </w:t>
      </w:r>
      <w:r>
        <w:t xml:space="preserve">Commission is calculated on the actual sale price expressed in</w:t>
      </w:r>
      <w:r>
        <w:t xml:space="preserve"> </w:t>
      </w:r>
      <w:r>
        <w:rPr>
          <w:b/>
          <w:bCs/>
        </w:rPr>
        <w:t xml:space="preserve">USD</w:t>
      </w:r>
      <w:r>
        <w:t xml:space="preserve">, whatever the dealer’s local currency.</w:t>
      </w:r>
    </w:p>
    <w:p>
      <w:pPr>
        <w:pStyle w:val="BodyText"/>
      </w:pPr>
      <w:r>
        <w:rPr>
          <w:b/>
          <w:bCs/>
        </w:rPr>
        <w:t xml:space="preserve">The commission ladder, tied to the final sale price: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Commission</w:t>
            </w:r>
          </w:p>
        </w:tc>
        <w:tc>
          <w:tcPr/>
          <w:p>
            <w:pPr>
              <w:pStyle w:val="Compact"/>
            </w:pPr>
            <w:r>
              <w:t xml:space="preserve">Maximum discount off MSRP</w:t>
            </w:r>
          </w:p>
        </w:tc>
        <w:tc>
          <w:tcPr/>
          <w:p>
            <w:pPr>
              <w:pStyle w:val="Compact"/>
            </w:pPr>
            <w:r>
              <w:t xml:space="preserve">Resulting price</w:t>
            </w:r>
          </w:p>
        </w:tc>
      </w:tr>
      <w:tr>
        <w:tc>
          <w:tcPr/>
          <w:p>
            <w:pPr>
              <w:pStyle w:val="Compact"/>
            </w:pPr>
            <w:r>
              <w:t xml:space="preserve">25 percent</w:t>
            </w:r>
          </w:p>
        </w:tc>
        <w:tc>
          <w:tcPr/>
          <w:p>
            <w:pPr>
              <w:pStyle w:val="Compact"/>
            </w:pPr>
            <w:r>
              <w:t xml:space="preserve">none, sells at MSRP</w:t>
            </w:r>
          </w:p>
        </w:tc>
        <w:tc>
          <w:tcPr/>
          <w:p>
            <w:pPr>
              <w:pStyle w:val="Compact"/>
            </w:pPr>
            <w:r>
              <w:t xml:space="preserve">$8,950</w:t>
            </w:r>
          </w:p>
        </w:tc>
      </w:tr>
      <w:tr>
        <w:tc>
          <w:tcPr/>
          <w:p>
            <w:pPr>
              <w:pStyle w:val="Compact"/>
            </w:pPr>
            <w:r>
              <w:t xml:space="preserve">20 percent</w:t>
            </w:r>
          </w:p>
        </w:tc>
        <w:tc>
          <w:tcPr/>
          <w:p>
            <w:pPr>
              <w:pStyle w:val="Compact"/>
            </w:pPr>
            <w:r>
              <w:t xml:space="preserve">$1,342.50</w:t>
            </w:r>
          </w:p>
        </w:tc>
        <w:tc>
          <w:tcPr/>
          <w:p>
            <w:pPr>
              <w:pStyle w:val="Compact"/>
            </w:pPr>
            <w:r>
              <w:t xml:space="preserve">$7,607.50</w:t>
            </w:r>
          </w:p>
        </w:tc>
      </w:tr>
      <w:tr>
        <w:tc>
          <w:tcPr/>
          <w:p>
            <w:pPr>
              <w:pStyle w:val="Compact"/>
            </w:pPr>
            <w:r>
              <w:t xml:space="preserve">16 percent</w:t>
            </w:r>
          </w:p>
        </w:tc>
        <w:tc>
          <w:tcPr/>
          <w:p>
            <w:pPr>
              <w:pStyle w:val="Compact"/>
            </w:pPr>
            <w:r>
              <w:t xml:space="preserve">$1,790.00</w:t>
            </w:r>
          </w:p>
        </w:tc>
        <w:tc>
          <w:tcPr/>
          <w:p>
            <w:pPr>
              <w:pStyle w:val="Compact"/>
            </w:pPr>
            <w:r>
              <w:t xml:space="preserve">$7,160.00</w:t>
            </w:r>
          </w:p>
        </w:tc>
      </w:tr>
    </w:tbl>
    <w:p>
      <w:pPr>
        <w:pStyle w:val="BodyText"/>
      </w:pPr>
      <w:r>
        <w:rPr>
          <w:b/>
          <w:bCs/>
        </w:rPr>
        <w:t xml:space="preserve">$7,160 is the MAP floor.</w:t>
      </w:r>
      <w:r>
        <w:t xml:space="preserve"> </w:t>
      </w:r>
      <w:r>
        <w:t xml:space="preserve">A deal below it is flagged and pays no commission at all. The dealer discounts against their own commission, which is the point of the structure: they can compete on price, but only with their own margin.</w:t>
      </w:r>
    </w:p>
    <w:p>
      <w:pPr>
        <w:pStyle w:val="BodyText"/>
      </w:pPr>
      <w:r>
        <w:rPr>
          <w:b/>
          <w:bCs/>
        </w:rPr>
        <w:t xml:space="preserve">Deal registration.</w:t>
      </w:r>
      <w:r>
        <w:t xml:space="preserve"> </w:t>
      </w:r>
      <w:r>
        <w:t xml:space="preserve">A dealer registers a named facility and holds attribution on it for</w:t>
      </w:r>
      <w:r>
        <w:t xml:space="preserve"> </w:t>
      </w:r>
      <w:r>
        <w:rPr>
          <w:b/>
          <w:bCs/>
        </w:rPr>
        <w:t xml:space="preserve">90 days</w:t>
      </w:r>
      <w:r>
        <w:t xml:space="preserve">. Registration runs through a form unique to that dealer, tracked as an Opportunity in the Commercial B2B pipeline. Build detail lives in the Implementation Guide section 12 and</w:t>
      </w:r>
      <w:r>
        <w:t xml:space="preserve"> </w:t>
      </w:r>
      <w:r>
        <w:rPr>
          <w:rStyle w:val="VerbatimChar"/>
        </w:rPr>
        <w:t xml:space="preserve">campaigns/dealer-onboarding.md</w:t>
      </w:r>
      <w:r>
        <w:t xml:space="preserve">; agents need only know that registration exists, that it expires, and that the roster of other dealers is confidential.</w:t>
      </w:r>
    </w:p>
    <w:p>
      <w:pPr>
        <w:pStyle w:val="BodyText"/>
      </w:pPr>
      <w:r>
        <w:rPr>
          <w:b/>
          <w:bCs/>
        </w:rPr>
        <w:t xml:space="preserve">Never disclose the dealer roster.</w:t>
      </w:r>
      <w:r>
        <w:t xml:space="preserve"> </w:t>
      </w:r>
      <w:r>
        <w:t xml:space="preserve">Who else sells for Enyrgy, and by inference which territories are covered and how large the network is, is competitive intelligence. Each dealer sees only their own name on their own form, deliberately.</w:t>
      </w:r>
    </w:p>
    <w:bookmarkEnd w:id="24"/>
    <w:bookmarkStart w:id="25" w:name="key-reference-facts-quick-lookup"/>
    <w:p>
      <w:pPr>
        <w:pStyle w:val="Heading2"/>
      </w:pPr>
      <w:r>
        <w:t xml:space="preserve">15. Key reference facts (quick lookup)</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Users</w:t>
            </w:r>
          </w:p>
        </w:tc>
        <w:tc>
          <w:tcPr/>
          <w:p>
            <w:pPr>
              <w:pStyle w:val="Compact"/>
            </w:pPr>
            <w:r>
              <w:t xml:space="preserve">600+ across 5 countries (</w:t>
            </w:r>
            <w:r>
              <w:rPr>
                <w:b/>
                <w:bCs/>
              </w:rPr>
              <w:t xml:space="preserve">say users, not customers</w:t>
            </w:r>
            <w:r>
              <w:t xml:space="preserve">)</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Dealer commission</w:t>
            </w:r>
          </w:p>
        </w:tc>
        <w:tc>
          <w:tcPr/>
          <w:p>
            <w:pPr>
              <w:pStyle w:val="Compact"/>
            </w:pPr>
            <w:r>
              <w:t xml:space="preserve">25 / 20 / 16 percent on final sale price, MAP floor $7,160 (section 14b)</w:t>
            </w:r>
          </w:p>
        </w:tc>
      </w:tr>
      <w:tr>
        <w:tc>
          <w:tcPr/>
          <w:p>
            <w:pPr>
              <w:pStyle w:val="Compact"/>
            </w:pPr>
            <w:r>
              <w:t xml:space="preserve">Facility referral</w:t>
            </w:r>
          </w:p>
        </w:tc>
        <w:tc>
          <w:tcPr/>
          <w:p>
            <w:pPr>
              <w:pStyle w:val="Compact"/>
            </w:pPr>
            <w:r>
              <w:t xml:space="preserve">$600 per Consumer Unit sale (section 14, escalate to Scott)</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bookmarkEnd w:id="25"/>
    <w:bookmarkStart w:id="33" w:name="X3c8fab249a12745cd8b0fe4a60814613a930d17"/>
    <w:p>
      <w:pPr>
        <w:pStyle w:val="Heading2"/>
      </w:pPr>
      <w:r>
        <w:t xml:space="preserve">16. Contraindications and inbound health questions (safety, non-negotiable)</w:t>
      </w:r>
    </w:p>
    <w:p>
      <w:pPr>
        <w:pStyle w:val="FirstParagraph"/>
      </w:pPr>
      <w:r>
        <w:rPr>
          <w:b/>
          <w:bCs/>
        </w:rPr>
        <w:t xml:space="preserve">Source: the Enyrgy User Guide that ships with every unit.</w:t>
      </w:r>
      <w:r>
        <w:t xml:space="preserve"> </w:t>
      </w:r>
      <w:r>
        <w:t xml:space="preserve">This is a safety disclosure, not marketing copy. Reproduce it as written. No agent may shorten it, soften it, restate it in its own words, add to it, or reason from it to a condition it does not name.</w:t>
      </w:r>
    </w:p>
    <w:bookmarkStart w:id="26" w:name="the-list-verbatim"/>
    <w:p>
      <w:pPr>
        <w:pStyle w:val="Heading3"/>
      </w:pPr>
      <w:r>
        <w:t xml:space="preserve">16.1 The list, verbatim</w:t>
      </w:r>
    </w:p>
    <w:p>
      <w:pPr>
        <w:pStyle w:val="BlockText"/>
      </w:pPr>
      <w:r>
        <w:rPr>
          <w:b/>
          <w:bCs/>
        </w:rPr>
        <w:t xml:space="preserve">Contraindicated</w:t>
      </w:r>
    </w:p>
    <w:p>
      <w:pPr>
        <w:pStyle w:val="BlockText"/>
      </w:pPr>
      <w:r>
        <w:t xml:space="preserve">We recommend consulting your doctor to evaluate whether Enyrgy Light Therapy is right for you.</w:t>
      </w:r>
    </w:p>
    <w:p>
      <w:pPr>
        <w:pStyle w:val="Compact"/>
        <w:numPr>
          <w:ilvl w:val="0"/>
          <w:numId w:val="1016"/>
        </w:numPr>
      </w:pPr>
      <w:r>
        <w:t xml:space="preserve">Do not use if Pregnant</w:t>
      </w:r>
    </w:p>
    <w:p>
      <w:pPr>
        <w:pStyle w:val="Compact"/>
        <w:numPr>
          <w:ilvl w:val="0"/>
          <w:numId w:val="1016"/>
        </w:numPr>
      </w:pPr>
      <w:r>
        <w:t xml:space="preserve">Do not use if diagnosed with UV Light Sensitivity</w:t>
      </w:r>
    </w:p>
    <w:p>
      <w:pPr>
        <w:pStyle w:val="Compact"/>
        <w:numPr>
          <w:ilvl w:val="0"/>
          <w:numId w:val="1016"/>
        </w:numPr>
      </w:pPr>
      <w:r>
        <w:t xml:space="preserve">Do not use if on photosensitizing medication</w:t>
      </w:r>
    </w:p>
    <w:p>
      <w:pPr>
        <w:pStyle w:val="Compact"/>
        <w:numPr>
          <w:ilvl w:val="0"/>
          <w:numId w:val="1016"/>
        </w:numPr>
      </w:pPr>
      <w:r>
        <w:t xml:space="preserve">Do not use if diagnosed with HIV-AIDS</w:t>
      </w:r>
    </w:p>
    <w:p>
      <w:pPr>
        <w:pStyle w:val="Compact"/>
        <w:numPr>
          <w:ilvl w:val="0"/>
          <w:numId w:val="1016"/>
        </w:numPr>
      </w:pPr>
      <w:r>
        <w:t xml:space="preserve">Do not use if diagnosed with Active Skin Cancer</w:t>
      </w:r>
    </w:p>
    <w:p>
      <w:pPr>
        <w:pStyle w:val="Compact"/>
        <w:numPr>
          <w:ilvl w:val="0"/>
          <w:numId w:val="1016"/>
        </w:numPr>
      </w:pPr>
      <w:r>
        <w:t xml:space="preserve">Do not use if diagnosed with UV light sensitivities: Protoporphyria (EPP), UV-sensitive syndrome, Photodermatitis, Xeroderma pigmentosum (XP), Lupus erythematosus, or Actinic dermatitis</w:t>
      </w:r>
    </w:p>
    <w:p>
      <w:pPr>
        <w:pStyle w:val="Compact"/>
        <w:numPr>
          <w:ilvl w:val="0"/>
          <w:numId w:val="1016"/>
        </w:numPr>
      </w:pPr>
      <w:r>
        <w:t xml:space="preserve">Do not use if diagnosed with UV light allergies: Actinic prurigo (hereditary PMLE), Polymorphous light eruption (PMLE), or Solar urticaria</w:t>
      </w:r>
    </w:p>
    <w:p>
      <w:pPr>
        <w:pStyle w:val="FirstParagraph"/>
      </w:pPr>
      <w:r>
        <w:t xml:space="preserve">The age minimum of 18 (section 9) applies on top of this list.</w:t>
      </w:r>
    </w:p>
    <w:bookmarkEnd w:id="26"/>
    <w:bookmarkStart w:id="27" w:name="Xfe5b76f7bdef9e74f6fe2238bfb78b1a0b0085c"/>
    <w:p>
      <w:pPr>
        <w:pStyle w:val="Heading3"/>
      </w:pPr>
      <w:r>
        <w:t xml:space="preserve">16.2 This list is exempt from the prohibited-words scan</w:t>
      </w:r>
    </w:p>
    <w:p>
      <w:pPr>
        <w:pStyle w:val="FirstParagraph"/>
      </w:pPr>
      <w:r>
        <w:t xml:space="preserve">The scan in section 11 blocks</w:t>
      </w:r>
      <w:r>
        <w:t xml:space="preserve"> </w:t>
      </w:r>
      <w:r>
        <w:t xml:space="preserve">“diagnose”</w:t>
      </w:r>
      <w:r>
        <w:t xml:space="preserve"> </w:t>
      </w:r>
      <w:r>
        <w:t xml:space="preserve">and</w:t>
      </w:r>
      <w:r>
        <w:t xml:space="preserve"> </w:t>
      </w:r>
      <w:r>
        <w:t xml:space="preserve">“disease”</w:t>
      </w:r>
      <w:r>
        <w:t xml:space="preserve"> </w:t>
      </w:r>
      <w:r>
        <w:t xml:space="preserve">in client-facing content. The contraindication list contains</w:t>
      </w:r>
      <w:r>
        <w:t xml:space="preserve"> </w:t>
      </w:r>
      <w:r>
        <w:t xml:space="preserve">“diagnosed”</w:t>
      </w:r>
      <w:r>
        <w:t xml:space="preserve"> </w:t>
      </w:r>
      <w:r>
        <w:t xml:space="preserve">five times by necessity, because naming the condition is the entire function of a safety disclosure.</w:t>
      </w:r>
      <w:r>
        <w:t xml:space="preserve"> </w:t>
      </w:r>
      <w:r>
        <w:rPr>
          <w:b/>
          <w:bCs/>
        </w:rPr>
        <w:t xml:space="preserve">An agent that scrubs those words to satisfy the scan breaks the disclosure.</w:t>
      </w:r>
      <w:r>
        <w:t xml:space="preserve"> </w:t>
      </w:r>
      <w:r>
        <w:t xml:space="preserve">Send it as written or do not send it. This is the only standing exemption to section 11.</w:t>
      </w:r>
    </w:p>
    <w:bookmarkEnd w:id="27"/>
    <w:bookmarkStart w:id="28" w:name="X7079cd488be367803663fc3ca74e1a7445ddb0b"/>
    <w:p>
      <w:pPr>
        <w:pStyle w:val="Heading3"/>
      </w:pPr>
      <w:r>
        <w:t xml:space="preserve">16.3 Photosensitizing medication is the item that carries real physical risk</w:t>
      </w:r>
    </w:p>
    <w:p>
      <w:pPr>
        <w:pStyle w:val="FirstParagraph"/>
      </w:pPr>
      <w:r>
        <w:t xml:space="preserve">The other entries describe conditions a person already knows they have. This one is different in two ways, and both matter.</w:t>
      </w:r>
    </w:p>
    <w:p>
      <w:pPr>
        <w:pStyle w:val="BodyText"/>
      </w:pPr>
      <w:r>
        <w:rPr>
          <w:b/>
          <w:bCs/>
        </w:rPr>
        <w:t xml:space="preserve">It is invisible to the device.</w:t>
      </w:r>
      <w:r>
        <w:t xml:space="preserve"> </w:t>
      </w:r>
      <w:r>
        <w:t xml:space="preserve">The app calculates each user’s dose from Fitzpatrick skin type and ends the session automatically (section 4). It has no knowledge of what the user takes. Photosensitizing drugs lower the dose at which skin burns, which is the documented reason this line sits on the list at all, so a dose set correctly for a skin type can exceed what that particular person’s skin tolerates. The automatic cutoff does not protect against this, because the variable it doses on is not the variable that changed.</w:t>
      </w:r>
    </w:p>
    <w:p>
      <w:pPr>
        <w:pStyle w:val="BodyText"/>
      </w:pPr>
      <w:r>
        <w:rPr>
          <w:b/>
          <w:bCs/>
        </w:rPr>
        <w:t xml:space="preserve">The safety record does not speak to this, in either direction.</w:t>
      </w:r>
      <w:r>
        <w:t xml:space="preserve"> </w:t>
      </w:r>
      <w:r>
        <w:t xml:space="preserve">We do not screen for photosensitizing drugs and do not record them, so nobody knows how many of the 25,000+ sessions involved someone taking one. The figure shows the dosing protocol has been safe across the people who have used it. It is not evidence that the protocol is safe for a photosensitized user, and it is not evidence of harm either. It is silent, because the variable was never measured.</w:t>
      </w:r>
      <w:r>
        <w:t xml:space="preserve"> </w:t>
      </w:r>
      <w:r>
        <w:rPr>
          <w:b/>
          <w:bCs/>
        </w:rPr>
        <w:t xml:space="preserve">Do not cite the safety record in answer to a photosensitivity question.</w:t>
      </w:r>
      <w:r>
        <w:t xml:space="preserve"> </w:t>
      </w:r>
      <w:r>
        <w:t xml:space="preserve">Citing it there presents an unmeasured variable as a tested one.</w:t>
      </w:r>
    </w:p>
    <w:p>
      <w:pPr>
        <w:pStyle w:val="BodyText"/>
      </w:pPr>
      <w:r>
        <w:rPr>
          <w:b/>
          <w:bCs/>
        </w:rPr>
        <w:t xml:space="preserve">People often do not know they are on one.</w:t>
      </w:r>
      <w:r>
        <w:t xml:space="preserve"> </w:t>
      </w:r>
      <w:r>
        <w:t xml:space="preserve">The category is wide and includes drugs nobody associates with sunlight: several antibiotic classes, some diuretics, some cardiac and antiarrhythmic drugs, some anti-inflammatories, some antifungals, some retinoids, and St John’s wort. Never list examples to a customer and never rule a specific drug in or out. The category is a physician’s question, and asking it is the whole point of the line above the list.</w:t>
      </w:r>
    </w:p>
    <w:p>
      <w:pPr>
        <w:pStyle w:val="BodyText"/>
      </w:pPr>
      <w:r>
        <w:t xml:space="preserve">Photosensitivity can also outlast the last dose, so</w:t>
      </w:r>
      <w:r>
        <w:t xml:space="preserve"> </w:t>
      </w:r>
      <w:r>
        <w:t xml:space="preserve">“I stopped taking it”</w:t>
      </w:r>
      <w:r>
        <w:t xml:space="preserve"> </w:t>
      </w:r>
      <w:r>
        <w:t xml:space="preserve">is not the same as clear. That timing question also belongs to their physician, not to us.</w:t>
      </w:r>
    </w:p>
    <w:bookmarkEnd w:id="28"/>
    <w:bookmarkStart w:id="29" w:name="Xac8e472bf725badfd76b7f636b4a5d32aa584fa"/>
    <w:p>
      <w:pPr>
        <w:pStyle w:val="Heading3"/>
      </w:pPr>
      <w:r>
        <w:t xml:space="preserve">16.4 How an agent handles an inbound health question</w:t>
      </w:r>
    </w:p>
    <w:p>
      <w:pPr>
        <w:pStyle w:val="FirstParagraph"/>
      </w:pPr>
      <w:r>
        <w:t xml:space="preserve">Someone describing a condition, an injury, a medication, or an ongoing course of care is not a normal inquiry. Handle it this way, every time.</w:t>
      </w:r>
    </w:p>
    <w:p>
      <w:pPr>
        <w:pStyle w:val="Compact"/>
        <w:numPr>
          <w:ilvl w:val="0"/>
          <w:numId w:val="1017"/>
        </w:numPr>
      </w:pPr>
      <w:r>
        <w:rPr>
          <w:b/>
          <w:bCs/>
        </w:rPr>
        <w:t xml:space="preserve">Never clear anyone.</w:t>
      </w:r>
      <w:r>
        <w:t xml:space="preserve"> </w:t>
      </w:r>
      <w:r>
        <w:t xml:space="preserve">Do not say a person is fine, is probably fine, sounds fine, or that their situation is not on the list.</w:t>
      </w:r>
      <w:r>
        <w:t xml:space="preserve"> </w:t>
      </w:r>
      <w:r>
        <w:rPr>
          <w:b/>
          <w:bCs/>
        </w:rPr>
        <w:t xml:space="preserve">Absence from the list is not clearance</w:t>
      </w:r>
      <w:r>
        <w:t xml:space="preserve">, and an agent has no standing to grant it.</w:t>
      </w:r>
    </w:p>
    <w:p>
      <w:pPr>
        <w:pStyle w:val="Compact"/>
        <w:numPr>
          <w:ilvl w:val="0"/>
          <w:numId w:val="1017"/>
        </w:numPr>
      </w:pPr>
      <w:r>
        <w:rPr>
          <w:b/>
          <w:bCs/>
        </w:rPr>
        <w:t xml:space="preserve">Never reason outward from the list.</w:t>
      </w:r>
      <w:r>
        <w:t xml:space="preserve"> </w:t>
      </w:r>
      <w:r>
        <w:t xml:space="preserve">It names what it names. Do not infer that a related condition is safe because it is unnamed, or unsafe because it resembles one that is.</w:t>
      </w:r>
    </w:p>
    <w:p>
      <w:pPr>
        <w:pStyle w:val="Compact"/>
        <w:numPr>
          <w:ilvl w:val="0"/>
          <w:numId w:val="1017"/>
        </w:numPr>
      </w:pPr>
      <w:r>
        <w:rPr>
          <w:b/>
          <w:bCs/>
        </w:rPr>
        <w:t xml:space="preserve">Never suggest a schedule, a session length, or a dose for a health situation.</w:t>
      </w:r>
      <w:r>
        <w:t xml:space="preserve"> </w:t>
      </w:r>
      <w:r>
        <w:t xml:space="preserve">The app sets dose. We do not.</w:t>
      </w:r>
    </w:p>
    <w:p>
      <w:pPr>
        <w:pStyle w:val="Compact"/>
        <w:numPr>
          <w:ilvl w:val="0"/>
          <w:numId w:val="1017"/>
        </w:numPr>
      </w:pPr>
      <w:r>
        <w:rPr>
          <w:b/>
          <w:bCs/>
        </w:rPr>
        <w:t xml:space="preserve">Never send the platform’s benefit story as the answer to a health question.</w:t>
      </w:r>
      <w:r>
        <w:t xml:space="preserve"> </w:t>
      </w:r>
      <w:r>
        <w:t xml:space="preserve">A person describing a condition is asking whether this helps or harms them. Reciting pathways answers a different question and reads as an answer to theirs.</w:t>
      </w:r>
    </w:p>
    <w:p>
      <w:pPr>
        <w:pStyle w:val="Compact"/>
        <w:numPr>
          <w:ilvl w:val="0"/>
          <w:numId w:val="1017"/>
        </w:numPr>
      </w:pPr>
      <w:r>
        <w:rPr>
          <w:b/>
          <w:bCs/>
        </w:rPr>
        <w:t xml:space="preserve">Do not solicit or record health details.</w:t>
      </w:r>
      <w:r>
        <w:t xml:space="preserve"> </w:t>
      </w:r>
      <w:r>
        <w:t xml:space="preserve">If they arrive unprompted, do not enter them in GHL custom fields, tags, or notes. Escalate the conversation instead.</w:t>
      </w:r>
    </w:p>
    <w:p>
      <w:pPr>
        <w:pStyle w:val="Compact"/>
        <w:numPr>
          <w:ilvl w:val="0"/>
          <w:numId w:val="1017"/>
        </w:numPr>
      </w:pPr>
      <w:r>
        <w:rPr>
          <w:b/>
          <w:bCs/>
        </w:rPr>
        <w:t xml:space="preserve">Give the list, name the physician conversation, stop there.</w:t>
      </w:r>
    </w:p>
    <w:p>
      <w:pPr>
        <w:pStyle w:val="Compact"/>
        <w:numPr>
          <w:ilvl w:val="0"/>
          <w:numId w:val="1017"/>
        </w:numPr>
      </w:pPr>
      <w:r>
        <w:rPr>
          <w:b/>
          <w:bCs/>
        </w:rPr>
        <w:t xml:space="preserve">Escalate to Scott</w:t>
      </w:r>
      <w:r>
        <w:t xml:space="preserve"> </w:t>
      </w:r>
      <w:r>
        <w:t xml:space="preserve">whenever the person names a specific condition, a medication, ongoing care, or asks for an arrangement outside the standard purchase. Do not run that conversation.</w:t>
      </w:r>
    </w:p>
    <w:p>
      <w:pPr>
        <w:pStyle w:val="FirstParagraph"/>
      </w:pPr>
      <w:r>
        <w:t xml:space="preserve">The honest position, and the one to hold: we do not know whether it helps or harms in a specific medical situation, the questions that would settle it are answerable by their physician in a few minutes, and pointing them there is a better answer than yes.</w:t>
      </w:r>
    </w:p>
    <w:bookmarkEnd w:id="29"/>
    <w:bookmarkStart w:id="30" w:name="X3883c1d2206e10653c9889d2dfe957a08beb348"/>
    <w:p>
      <w:pPr>
        <w:pStyle w:val="Heading3"/>
      </w:pPr>
      <w:r>
        <w:t xml:space="preserve">16.5 Vitamin D non-response is not a contraindication</w:t>
      </w:r>
    </w:p>
    <w:p>
      <w:pPr>
        <w:pStyle w:val="FirstParagraph"/>
      </w:pPr>
      <w:r>
        <w:t xml:space="preserve">The User Guide records, alongside the list: those who have polymorphisms in genes related to vitamin D metabolism (for example GC, CYP2R1, DHCR7) do not respond well to UVB, sometimes described as UVB non-responsiveness or vitamin D photoconversion resistance.</w:t>
      </w:r>
    </w:p>
    <w:p>
      <w:pPr>
        <w:pStyle w:val="BodyText"/>
      </w:pPr>
      <w:r>
        <w:rPr>
          <w:b/>
          <w:bCs/>
        </w:rPr>
        <w:t xml:space="preserve">This is a non-response caveat, not a safety exclusion.</w:t>
      </w:r>
      <w:r>
        <w:t xml:space="preserve"> </w:t>
      </w:r>
      <w:r>
        <w:t xml:space="preserve">Never phrase it as</w:t>
      </w:r>
      <w:r>
        <w:t xml:space="preserve"> </w:t>
      </w:r>
      <w:r>
        <w:t xml:space="preserve">“do not use if.”</w:t>
      </w:r>
      <w:r>
        <w:t xml:space="preserve"> </w:t>
      </w:r>
      <w:r>
        <w:t xml:space="preserve">It carries two implications worth stating plainly.</w:t>
      </w:r>
    </w:p>
    <w:p>
      <w:pPr>
        <w:pStyle w:val="Compact"/>
        <w:numPr>
          <w:ilvl w:val="0"/>
          <w:numId w:val="1018"/>
        </w:numPr>
      </w:pPr>
      <w:r>
        <w:t xml:space="preserve">It is the honest limit on the clinical result. The five participants all reached optimal (section 4). A person with these polymorphisms may not, through no failure of the platform. Testing before and after is what settles it for any individual, which is what we recommend anyway.</w:t>
      </w:r>
    </w:p>
    <w:p>
      <w:pPr>
        <w:pStyle w:val="Compact"/>
        <w:numPr>
          <w:ilvl w:val="0"/>
          <w:numId w:val="1018"/>
        </w:numPr>
      </w:pPr>
      <w:r>
        <w:t xml:space="preserve">The biology overlaps with the one-in-four low-responder figure for supplements (section 8) without being identical to it. GC and CYP2R1 act on vitamin D once it is in circulation, whichever route it arrived by, so they bear on both. DHCR7 governs the substrate available in skin, so it is specific to the light pathway. The practical rule that follows:</w:t>
      </w:r>
      <w:r>
        <w:t xml:space="preserve"> </w:t>
      </w:r>
      <w:r>
        <w:rPr>
          <w:b/>
          <w:bCs/>
        </w:rPr>
        <w:t xml:space="preserve">never present low response as a supplement problem the platform escapes.</w:t>
      </w:r>
      <w:r>
        <w:t xml:space="preserve"> </w:t>
      </w:r>
      <w:r>
        <w:t xml:space="preserve">The platform opens three pathways instead of one and is far more efficient at the vitamin D pathway, and that is the accurate comparison. It does not make vitamin D genetics irrelevant.</w:t>
      </w:r>
    </w:p>
    <w:bookmarkEnd w:id="30"/>
    <w:bookmarkStart w:id="31" w:name="use-on-intact-skin-only"/>
    <w:p>
      <w:pPr>
        <w:pStyle w:val="Heading3"/>
      </w:pPr>
      <w:r>
        <w:t xml:space="preserve">16.6 Use on intact skin only</w:t>
      </w:r>
    </w:p>
    <w:p>
      <w:pPr>
        <w:pStyle w:val="FirstParagraph"/>
      </w:pPr>
      <w:r>
        <w:rPr>
          <w:b/>
          <w:bCs/>
        </w:rPr>
        <w:t xml:space="preserve">Approved wording, use as written in every document and every reply:</w:t>
      </w:r>
    </w:p>
    <w:p>
      <w:pPr>
        <w:pStyle w:val="BlockText"/>
      </w:pPr>
      <w:r>
        <w:rPr>
          <w:b/>
          <w:bCs/>
        </w:rPr>
        <w:t xml:space="preserve">Use on intact skin only.</w:t>
      </w:r>
      <w:r>
        <w:t xml:space="preserve"> </w:t>
      </w:r>
      <w:r>
        <w:t xml:space="preserve">Sessions are taken on the torso, on skin that is unbroken and healthy. Do not direct exposure at a wound, a sore that has not closed, a rash, a burn, or any other area of broken skin. Keep any such area covered during your session, and speak with your doctor before continuing.</w:t>
      </w:r>
    </w:p>
    <w:p>
      <w:pPr>
        <w:pStyle w:val="FirstParagraph"/>
      </w:pPr>
      <w:r>
        <w:rPr>
          <w:b/>
          <w:bCs/>
        </w:rPr>
        <w:t xml:space="preserve">Why this exists.</w:t>
      </w:r>
      <w:r>
        <w:t xml:space="preserve"> </w:t>
      </w:r>
      <w:r>
        <w:t xml:space="preserve">It was missing from every Enyrgy document until August 2026, and the gap is not academic. Our own approved research points say adequate vitamin D supports wound repair (section 4). A person who reads that and then owns a UVB platform can reasonably conclude the light should go on the wound. Nothing we published told them otherwise.</w:t>
      </w:r>
    </w:p>
    <w:p>
      <w:pPr>
        <w:pStyle w:val="BodyText"/>
      </w:pPr>
      <w:r>
        <w:rPr>
          <w:b/>
          <w:bCs/>
        </w:rPr>
        <w:t xml:space="preserve">Agents must never build on that inference.</w:t>
      </w:r>
      <w:r>
        <w:t xml:space="preserve"> </w:t>
      </w:r>
      <w:r>
        <w:t xml:space="preserve">Do not suggest that a session supports a specific injury, do not answer a wound question with the bone and recovery research, and do not describe where to position anything. The line above, then the physician, then stop.</w:t>
      </w:r>
    </w:p>
    <w:bookmarkEnd w:id="31"/>
    <w:bookmarkStart w:id="32" w:name="why-the-pacemaker-line-was-removed"/>
    <w:p>
      <w:pPr>
        <w:pStyle w:val="Heading3"/>
      </w:pPr>
      <w:r>
        <w:t xml:space="preserve">16.7 Why the pacemaker line was removed</w:t>
      </w:r>
    </w:p>
    <w:p>
      <w:pPr>
        <w:pStyle w:val="FirstParagraph"/>
      </w:pPr>
      <w:r>
        <w:rPr>
          <w:b/>
          <w:bCs/>
        </w:rPr>
        <w:t xml:space="preserve">No dermatological source supports the exclusion.</w:t>
      </w:r>
      <w:r>
        <w:t xml:space="preserve"> </w:t>
      </w:r>
      <w:r>
        <w:t xml:space="preserve">The 2019 joint AAD and NPF phototherapy guidelines (Elmets et al.,</w:t>
      </w:r>
      <w:r>
        <w:t xml:space="preserve"> </w:t>
      </w:r>
      <w:r>
        <w:rPr>
          <w:i/>
          <w:iCs/>
        </w:rPr>
        <w:t xml:space="preserve">J Am Acad Dermatol</w:t>
      </w:r>
      <w:r>
        <w:t xml:space="preserve"> </w:t>
      </w:r>
      <w:r>
        <w:t xml:space="preserve">2019;81(3):775-804) treat narrowband UVB as having very few absolute contraindications: xeroderma pigmentosum and other photosensitive disorders. The relative contraindications they list are skin cancer history, photosensitivity disorders, autoimmune conditions such as lupus, pregnancy, immunosuppressive therapy, cataracts, and similar. Implanted cardiac devices appear in neither list.</w:t>
      </w:r>
    </w:p>
    <w:p>
      <w:pPr>
        <w:pStyle w:val="BodyText"/>
      </w:pPr>
      <w:r>
        <w:rPr>
          <w:b/>
          <w:bCs/>
        </w:rPr>
        <w:t xml:space="preserve">The origin appears to be equipment, not light.</w:t>
      </w:r>
      <w:r>
        <w:t xml:space="preserve"> </w:t>
      </w:r>
      <w:r>
        <w:t xml:space="preserve">Warnings of this shape are standard on tanning and cabinet-style UV equipment, where the concern is electromagnetic interference from the cabinet’s own electrical systems, its ballasts, fans and motors, rather than from the ultraviolet output. The therapeutic laser literature describes the same exclusion as a common misconception, on the grounds that implanted devices are metal-encased and unaffected by photons. Sunlight itself carries no such warning. Enyrgy’s platform is a wall-mounted unit the user stands against, not a powered cabinet they lie inside.</w:t>
      </w:r>
    </w:p>
    <w:p>
      <w:pPr>
        <w:pStyle w:val="BodyText"/>
      </w:pPr>
      <w:r>
        <w:rPr>
          <w:b/>
          <w:bCs/>
        </w:rPr>
        <w:t xml:space="preserve">What this does not mean, and the distinction agents must hold.</w:t>
      </w:r>
    </w:p>
    <w:p>
      <w:pPr>
        <w:pStyle w:val="Compact"/>
        <w:numPr>
          <w:ilvl w:val="0"/>
          <w:numId w:val="1019"/>
        </w:numPr>
      </w:pPr>
      <w:r>
        <w:rPr>
          <w:b/>
          <w:bCs/>
        </w:rPr>
        <w:t xml:space="preserve">Removal from the list is not clearance.</w:t>
      </w:r>
      <w:r>
        <w:t xml:space="preserve"> </w:t>
      </w:r>
      <w:r>
        <w:t xml:space="preserve">The rule in 16.4 governs unchanged: absence from the list never means a person is fine, and no agent may tell someone with a pacemaker that Enyrgy is safe for them. That is still their physician’s call.</w:t>
      </w:r>
    </w:p>
    <w:p>
      <w:pPr>
        <w:pStyle w:val="Compact"/>
        <w:numPr>
          <w:ilvl w:val="0"/>
          <w:numId w:val="1019"/>
        </w:numPr>
      </w:pPr>
      <w:r>
        <w:rPr>
          <w:b/>
          <w:bCs/>
        </w:rPr>
        <w:t xml:space="preserve">Never volunteer that the line was removed</w:t>
      </w:r>
      <w:r>
        <w:t xml:space="preserve">, and never present the removal as a safety finding. It is a correction to a list that carried an item without a basis.</w:t>
      </w:r>
    </w:p>
    <w:p>
      <w:pPr>
        <w:pStyle w:val="Compact"/>
        <w:numPr>
          <w:ilvl w:val="0"/>
          <w:numId w:val="1019"/>
        </w:numPr>
      </w:pPr>
      <w:r>
        <w:rPr>
          <w:b/>
          <w:bCs/>
        </w:rPr>
        <w:t xml:space="preserve">Units already in the field still show it.</w:t>
      </w:r>
      <w:r>
        <w:t xml:space="preserve"> </w:t>
      </w:r>
      <w:r>
        <w:t xml:space="preserve">Anyone who bought before this change has a manual listing Heart/Pacemaker. If they raise it, do not tell them their manual is wrong or that the concern was baseless. Confirm the current list, point them to their doctor, escalate to Scott.</w:t>
      </w:r>
    </w:p>
    <w:p>
      <w:pPr>
        <w:pStyle w:val="FirstParagraph"/>
      </w:pPr>
      <w:r>
        <w:rPr>
          <w:i/>
          <w:iCs/>
        </w:rPr>
        <w:t xml:space="preserve">CONFIDENTIAL - Enyrgy Inc - 5115 N 27th Ave, Bld 66, Phoenix, AZ 85017 - enyrgy.com - Sunlight. Evolved.</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2026-08-26T05:33:08Z</dcterms:created>
  <dcterms:modified xsi:type="dcterms:W3CDTF">2026-08-26T05:33:08Z</dcterms:modified>
</cp:coreProperties>
</file>

<file path=docProps/custom.xml><?xml version="1.0" encoding="utf-8"?>
<Properties xmlns="http://schemas.openxmlformats.org/officeDocument/2006/custom-properties" xmlns:vt="http://schemas.openxmlformats.org/officeDocument/2006/docPropsVTypes"/>
</file>