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d990285ed89636a7d9164f06365c6599008122f"/>
    <w:p>
      <w:pPr>
        <w:pStyle w:val="Heading2"/>
      </w:pPr>
      <w:r>
        <w:t xml:space="preserve">4f. Weekly Content Engine (spec received August 4, 2026)</w:t>
      </w:r>
    </w:p>
    <w:p>
      <w:pPr>
        <w:pStyle w:val="FirstParagraph"/>
      </w:pPr>
      <w:r>
        <w:t xml:space="preserve">Scott supplied</w:t>
      </w:r>
      <w:r>
        <w:t xml:space="preserve"> </w:t>
      </w:r>
      <w:r>
        <w:rPr>
          <w:rStyle w:val="VerbatimChar"/>
        </w:rPr>
        <w:t xml:space="preserve">Enyrgy_Weekly_Content_Engine_Spec.md</w:t>
      </w:r>
      <w:r>
        <w:t xml:space="preserve">, the outbound marketing agent he built for another company, to be rebuilt on Enyrgy’s Paperclip / Railway / GHL stack. Verified against the live corpus; agent block 17 drafted in</w:t>
      </w:r>
      <w:r>
        <w:t xml:space="preserve"> </w:t>
      </w:r>
      <w:r>
        <w:rPr>
          <w:rStyle w:val="VerbatimChar"/>
        </w:rPr>
        <w:t xml:space="preserve">Enyrgy_Paperclip_Agent_Instruction_Blocks.md</w:t>
      </w:r>
      <w:r>
        <w:t xml:space="preserve">,</w:t>
      </w:r>
      <w:r>
        <w:t xml:space="preserve"> </w:t>
      </w:r>
      <w:r>
        <w:rPr>
          <w:b/>
          <w:bCs/>
        </w:rPr>
        <w:t xml:space="preserve">not hired.</w:t>
      </w:r>
    </w:p>
    <w:p>
      <w:pPr>
        <w:pStyle w:val="Compact"/>
        <w:numPr>
          <w:ilvl w:val="0"/>
          <w:numId w:val="1073"/>
        </w:numPr>
      </w:pPr>
      <w:r>
        <w:rPr>
          <w:b/>
          <w:bCs/>
        </w:rPr>
        <w:t xml:space="preserve">BLOCKING: load the January 2026 FDA Guidelines for Wellness Products into KB Section 11.</w:t>
      </w:r>
      <w:r>
        <w:t xml:space="preserve"> </w:t>
      </w:r>
      <w:r>
        <w:t xml:space="preserve">The KB has required this review since it was written but has never contained the document. The rule is binding and the substance is absent, so</w:t>
      </w:r>
      <w:r>
        <w:t xml:space="preserve"> </w:t>
      </w:r>
      <w:r>
        <w:rPr>
          <w:b/>
          <w:bCs/>
        </w:rPr>
        <w:t xml:space="preserve">no agent can actually perform the check</w:t>
      </w:r>
      <w:r>
        <w:t xml:space="preserve">, and an agent asked to will either pass it silently or invent the criteria. This is not specific to the content engine; it applies to every agent that composes client-facing copy, and it has been latent the whole time.</w:t>
      </w:r>
      <w:r>
        <w:t xml:space="preserve"> </w:t>
      </w:r>
      <w:r>
        <w:rPr>
          <w:b/>
          <w:bCs/>
        </w:rPr>
        <w:t xml:space="preserve">Scott to supply the document or an authoritative summary.</w:t>
      </w:r>
      <w:r>
        <w:t xml:space="preserve"> </w:t>
      </w:r>
      <w:r>
        <w:t xml:space="preserve">A link is not sufficient for agents that cannot browse; the operative content has to be in the KB the way the prohibited-words list is.</w:t>
      </w:r>
    </w:p>
    <w:p>
      <w:pPr>
        <w:pStyle w:val="Compact"/>
        <w:numPr>
          <w:ilvl w:val="0"/>
          <w:numId w:val="1074"/>
        </w:numPr>
      </w:pPr>
      <w:r>
        <w:rPr>
          <w:b/>
          <w:bCs/>
        </w:rPr>
        <w:t xml:space="preserve">Retire</w:t>
      </w:r>
      <w:r>
        <w:rPr>
          <w:b/>
          <w:bCs/>
        </w:rPr>
        <w:t xml:space="preserve"> </w:t>
      </w:r>
      <w:r>
        <w:rPr>
          <w:b/>
          <w:bCs/>
        </w:rPr>
        <w:t xml:space="preserve">“zero paid advertising to date”</w:t>
      </w:r>
      <w:r>
        <w:rPr>
          <w:b/>
          <w:bCs/>
        </w:rPr>
        <w:t xml:space="preserve"> </w:t>
      </w:r>
      <w:r>
        <w:rPr>
          <w:b/>
          <w:bCs/>
        </w:rPr>
        <w:t xml:space="preserve">the day the first ad runs.</w:t>
      </w:r>
      <w:r>
        <w:t xml:space="preserve"> </w:t>
      </w:r>
      <w:r>
        <w:t xml:space="preserve">Ads are deliberately in scope, since the raise is explicitly for advertising. The claim appears in</w:t>
      </w:r>
      <w:r>
        <w:t xml:space="preserve"> </w:t>
      </w:r>
      <w:r>
        <w:rPr>
          <w:b/>
          <w:bCs/>
        </w:rPr>
        <w:t xml:space="preserve">KB Sections 1 and 6</w:t>
      </w:r>
      <w:r>
        <w:t xml:space="preserve">, in live drip copy, and in the</w:t>
      </w:r>
      <w:r>
        <w:t xml:space="preserve"> </w:t>
      </w:r>
      <w:r>
        <w:rPr>
          <w:b/>
          <w:bCs/>
        </w:rPr>
        <w:t xml:space="preserve">Q2 2026 investor update</w:t>
      </w:r>
      <w:r>
        <w:t xml:space="preserve">, which describes Thea Cartier’s role as</w:t>
      </w:r>
      <w:r>
        <w:t xml:space="preserve"> </w:t>
      </w:r>
      <w:r>
        <w:t xml:space="preserve">“extending the zero-paid-ads engine.”</w:t>
      </w:r>
      <w:r>
        <w:t xml:space="preserve"> </w:t>
      </w:r>
      <w:r>
        <w:t xml:space="preserve">It was true and is a real credibility asset while it lasts, but it cannot outlive the first ad.</w:t>
      </w:r>
      <w:r>
        <w:t xml:space="preserve"> </w:t>
      </w:r>
      <w:r>
        <w:rPr>
          <w:b/>
          <w:bCs/>
        </w:rPr>
        <w:t xml:space="preserve">Retiring it late is the failure mode:</w:t>
      </w:r>
      <w:r>
        <w:t xml:space="preserve"> </w:t>
      </w:r>
      <w:r>
        <w:t xml:space="preserve">a true differentiator becomes a false claim in copy already in the field. Grep</w:t>
      </w:r>
      <w:r>
        <w:t xml:space="preserve"> </w:t>
      </w:r>
      <w:r>
        <w:rPr>
          <w:rStyle w:val="VerbatimChar"/>
        </w:rPr>
        <w:t xml:space="preserve">campaigns/</w:t>
      </w:r>
      <w:r>
        <w:t xml:space="preserve"> </w:t>
      </w:r>
      <w:r>
        <w:t xml:space="preserve">and the KB before the first campaign goes live.</w:t>
      </w:r>
    </w:p>
    <w:p>
      <w:pPr>
        <w:pStyle w:val="Compact"/>
        <w:numPr>
          <w:ilvl w:val="0"/>
          <w:numId w:val="1075"/>
        </w:numPr>
      </w:pPr>
      <w:r>
        <w:rPr>
          <w:b/>
          <w:bCs/>
        </w:rPr>
        <w:t xml:space="preserve">Decide how this agent relates to Thea Cartier</w:t>
      </w:r>
      <w:r>
        <w:t xml:space="preserve">, who is a real hire owning organic social and was named to investors. Drafts for her to edit and ship, covers what she does not, or Scott is the sole gate. His</w:t>
      </w:r>
      <w:r>
        <w:t xml:space="preserve"> </w:t>
      </w:r>
      <w:r>
        <w:t xml:space="preserve">“for my review and posting”</w:t>
      </w:r>
      <w:r>
        <w:t xml:space="preserve"> </w:t>
      </w:r>
      <w:r>
        <w:t xml:space="preserve">settles the gate but not her remit.</w:t>
      </w:r>
    </w:p>
    <w:p>
      <w:pPr>
        <w:pStyle w:val="Compact"/>
        <w:numPr>
          <w:ilvl w:val="0"/>
          <w:numId w:val="1076"/>
        </w:numPr>
      </w:pPr>
      <w:r>
        <w:rPr>
          <w:b/>
          <w:bCs/>
        </w:rPr>
        <w:t xml:space="preserve">Decide whether blog and email stage as GHL drafts</w:t>
      </w:r>
      <w:r>
        <w:t xml:space="preserve"> </w:t>
      </w:r>
      <w:r>
        <w:t xml:space="preserve">or come out as review packages like social. Social is settled: nothing auto-posts, no channel is connected, and none will be.</w:t>
      </w:r>
    </w:p>
    <w:p>
      <w:pPr>
        <w:pStyle w:val="Compact"/>
        <w:numPr>
          <w:ilvl w:val="0"/>
          <w:numId w:val="1077"/>
        </w:numPr>
      </w:pPr>
      <w:r>
        <w:t xml:space="preserve">Confirm GHL Blogs is enabled on the sub-account, if blog stays in GHL.</w:t>
      </w:r>
    </w:p>
    <w:p>
      <w:pPr>
        <w:pStyle w:val="Compact"/>
        <w:numPr>
          <w:ilvl w:val="0"/>
          <w:numId w:val="1078"/>
        </w:numPr>
      </w:pPr>
      <w:r>
        <w:t xml:space="preserve">Pick the Monday hour, then build: marketing project, hire from block 17, routine with</w:t>
      </w:r>
      <w:r>
        <w:t xml:space="preserve"> </w:t>
      </w:r>
      <w:r>
        <w:rPr>
          <w:rStyle w:val="VerbatimChar"/>
        </w:rPr>
        <w:t xml:space="preserve">schedule</w:t>
      </w:r>
      <w:r>
        <w:t xml:space="preserve"> </w:t>
      </w:r>
      <w:r>
        <w:t xml:space="preserve">+ manual</w:t>
      </w:r>
      <w:r>
        <w:t xml:space="preserve"> </w:t>
      </w:r>
      <w:r>
        <w:rPr>
          <w:rStyle w:val="VerbatimChar"/>
        </w:rPr>
        <w:t xml:space="preserve">api</w:t>
      </w:r>
      <w:r>
        <w:t xml:space="preserve"> </w:t>
      </w:r>
      <w:r>
        <w:t xml:space="preserve">triggers, dry run, go live.</w:t>
      </w:r>
    </w:p>
    <w:bookmarkEnd w:id="17"/>
    <w:bookmarkStart w:id="18" w:name="X787c6ae49ec488fed45086d4c0a203c1e5c3e7f"/>
    <w:p>
      <w:pPr>
        <w:pStyle w:val="Heading2"/>
      </w:pPr>
      <w:r>
        <w:t xml:space="preserve">5. Strategic architecture decisions (mostly ratify, not build)</w:t>
      </w:r>
    </w:p>
    <w:p>
      <w:pPr>
        <w:pStyle w:val="Compact"/>
        <w:numPr>
          <w:ilvl w:val="0"/>
          <w:numId w:val="1079"/>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0"/>
        </w:numPr>
      </w:pPr>
      <w:r>
        <w:rPr>
          <w:b/>
          <w:bCs/>
        </w:rPr>
        <w:t xml:space="preserve">System-of-record ownership map:</w:t>
      </w:r>
      <w:r>
        <w:t xml:space="preserve"> </w:t>
      </w:r>
      <w:r>
        <w:t xml:space="preserve">ratify the documented SoR (decision/doc task).</w:t>
      </w:r>
    </w:p>
    <w:p>
      <w:pPr>
        <w:pStyle w:val="Compact"/>
        <w:numPr>
          <w:ilvl w:val="0"/>
          <w:numId w:val="1081"/>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2"/>
        </w:numPr>
      </w:pPr>
      <w:r>
        <w:rPr>
          <w:b/>
          <w:bCs/>
        </w:rPr>
        <w:t xml:space="preserve">OEM / Lumanova data boundary:</w:t>
      </w:r>
      <w:r>
        <w:t xml:space="preserve"> </w:t>
      </w:r>
      <w:r>
        <w:t xml:space="preserve">formalize an auditable path as the partner program grows.</w:t>
      </w:r>
    </w:p>
    <w:p>
      <w:pPr>
        <w:pStyle w:val="Compact"/>
        <w:numPr>
          <w:ilvl w:val="0"/>
          <w:numId w:val="1083"/>
        </w:numPr>
      </w:pPr>
      <w:r>
        <w:rPr>
          <w:b/>
          <w:bCs/>
        </w:rPr>
        <w:t xml:space="preserve">Metric governance owner:</w:t>
      </w:r>
      <w:r>
        <w:t xml:space="preserve"> </w:t>
      </w:r>
      <w:r>
        <w:t xml:space="preserve">figures reconciled; assign a single owner.</w:t>
      </w:r>
    </w:p>
    <w:p>
      <w:pPr>
        <w:pStyle w:val="Compact"/>
        <w:numPr>
          <w:ilvl w:val="0"/>
          <w:numId w:val="1084"/>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5"/>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8"/>
    <w:bookmarkStart w:id="19" w:name="future-optional"/>
    <w:p>
      <w:pPr>
        <w:pStyle w:val="Heading2"/>
      </w:pPr>
      <w:r>
        <w:t xml:space="preserve">6. Future / optional</w:t>
      </w:r>
    </w:p>
    <w:p>
      <w:pPr>
        <w:pStyle w:val="Compact"/>
        <w:numPr>
          <w:ilvl w:val="0"/>
          <w:numId w:val="1086"/>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7"/>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8"/>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9"/>
        </w:numPr>
      </w:pPr>
      <w:r>
        <w:rPr>
          <w:b/>
          <w:bCs/>
        </w:rPr>
        <w:t xml:space="preserve">Paid acquisition</w:t>
      </w:r>
      <w:r>
        <w:t xml:space="preserve"> </w:t>
      </w:r>
      <w:r>
        <w:t xml:space="preserve">(Meta/Google): after domain warmup finishes.</w:t>
      </w:r>
    </w:p>
    <w:p>
      <w:pPr>
        <w:pStyle w:val="Compact"/>
        <w:numPr>
          <w:ilvl w:val="0"/>
          <w:numId w:val="1090"/>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1"/>
        </w:numPr>
      </w:pPr>
      <w:r>
        <w:rPr>
          <w:b/>
          <w:bCs/>
        </w:rPr>
        <w:t xml:space="preserve">Form embeds:</w:t>
      </w:r>
      <w:r>
        <w:t xml:space="preserve"> </w:t>
      </w:r>
      <w:r>
        <w:t xml:space="preserve">Commercial Inquiry + Partner Application forms onto go.enyrgy.com (developer).</w:t>
      </w:r>
    </w:p>
    <w:p>
      <w:pPr>
        <w:pStyle w:val="Compact"/>
        <w:numPr>
          <w:ilvl w:val="0"/>
          <w:numId w:val="1092"/>
        </w:numPr>
      </w:pPr>
      <w:r>
        <w:rPr>
          <w:b/>
          <w:bCs/>
        </w:rPr>
        <w:t xml:space="preserve">Upgrade the abandoned-checkout Railway service off trial</w:t>
      </w:r>
      <w:r>
        <w:t xml:space="preserve"> </w:t>
      </w:r>
      <w:r>
        <w:t xml:space="preserve">(may already be on Hobby; confirm).</w:t>
      </w:r>
    </w:p>
    <w:bookmarkEnd w:id="19"/>
    <w:bookmarkStart w:id="20" w:name="X99a4122416d3be25b3ec730ee1c5d273b04fea6"/>
    <w:p>
      <w:pPr>
        <w:pStyle w:val="Heading2"/>
      </w:pPr>
      <w:r>
        <w:t xml:space="preserve">6b. Content backup gap: CLOSED August 3, 2026</w:t>
      </w:r>
    </w:p>
    <w:p>
      <w:pPr>
        <w:pStyle w:val="Compact"/>
        <w:numPr>
          <w:ilvl w:val="0"/>
          <w:numId w:val="1093"/>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4"/>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5"/>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5"/>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5"/>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5"/>
        </w:numPr>
      </w:pPr>
      <w:r>
        <w:rPr>
          <w:b/>
          <w:bCs/>
        </w:rPr>
        <w:t xml:space="preserve">Secondary benefit:</w:t>
      </w:r>
      <w:r>
        <w:t xml:space="preserve"> </w:t>
      </w:r>
      <w:r>
        <w:t xml:space="preserve">makes the copy greppable, so subject lines and claims can be located and audited without clicking through GHL.</w:t>
      </w:r>
    </w:p>
    <w:bookmarkEnd w:id="20"/>
    <w:bookmarkStart w:id="21" w:name="documentation-hygiene"/>
    <w:p>
      <w:pPr>
        <w:pStyle w:val="Heading2"/>
      </w:pPr>
      <w:r>
        <w:t xml:space="preserve">7. Documentation hygiene</w:t>
      </w:r>
    </w:p>
    <w:p>
      <w:pPr>
        <w:numPr>
          <w:ilvl w:val="0"/>
          <w:numId w:val="1096"/>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7"/>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8"/>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9"/>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0"/>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1"/>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2"/>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3"/>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4"/>
        </w:numPr>
      </w:pPr>
      <w:r>
        <w:rPr>
          <w:b/>
          <w:bCs/>
        </w:rPr>
        <w:t xml:space="preserve">Campaign copy backed up:</w:t>
      </w:r>
      <w:r>
        <w:t xml:space="preserve"> </w:t>
      </w:r>
      <w:r>
        <w:t xml:space="preserve">see 6b. Standing Rule 9 added to the handoff, save the artifact and not a description of it.</w:t>
      </w:r>
    </w:p>
    <w:bookmarkEnd w:id="21"/>
    <w:bookmarkStart w:id="22" w:name="X4ef6576507d0fd69ab3954b626c150ac8397a60"/>
    <w:p>
      <w:pPr>
        <w:pStyle w:val="Heading2"/>
      </w:pPr>
      <w:r>
        <w:t xml:space="preserve">8. Standing operating discipline (adopted Session 15)</w:t>
      </w:r>
    </w:p>
    <w:p>
      <w:pPr>
        <w:pStyle w:val="Compact"/>
        <w:numPr>
          <w:ilvl w:val="0"/>
          <w:numId w:val="1105"/>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6"/>
        </w:numPr>
      </w:pPr>
      <w:r>
        <w:rPr>
          <w:b/>
          <w:bCs/>
        </w:rPr>
        <w:t xml:space="preserve">Keep credit buffered and watch the Costs page.</w:t>
      </w:r>
      <w:r>
        <w:t xml:space="preserve"> </w:t>
      </w:r>
      <w:r>
        <w:t xml:space="preserve">Starvation is more expensive than headroom, not cheaper.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3"/>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3"/>
  </w:num>
  <w:num w:numId="1094">
    <w:abstractNumId w:val="993"/>
  </w:num>
  <w:num w:numId="1095">
    <w:abstractNumId w:val="991"/>
  </w:num>
  <w:num w:numId="1096">
    <w:abstractNumId w:val="993"/>
  </w:num>
  <w:num w:numId="1097">
    <w:abstractNumId w:val="993"/>
  </w:num>
  <w:num w:numId="1098">
    <w:abstractNumId w:val="992"/>
  </w:num>
  <w:num w:numId="1099">
    <w:abstractNumId w:val="993"/>
  </w:num>
  <w:num w:numId="1100">
    <w:abstractNumId w:val="993"/>
  </w:num>
  <w:num w:numId="1101">
    <w:abstractNumId w:val="993"/>
  </w:num>
  <w:num w:numId="1102">
    <w:abstractNumId w:val="993"/>
  </w:num>
  <w:num w:numId="1103">
    <w:abstractNumId w:val="993"/>
  </w:num>
  <w:num w:numId="1104">
    <w:abstractNumId w:val="993"/>
  </w:num>
  <w:num w:numId="1105">
    <w:abstractNumId w:val="992"/>
  </w:num>
  <w:num w:numId="11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2026-08-05T05:11:17Z</dcterms:created>
  <dcterms:modified xsi:type="dcterms:W3CDTF">2026-08-05T05:11:17Z</dcterms:modified>
</cp:coreProperties>
</file>

<file path=docProps/custom.xml><?xml version="1.0" encoding="utf-8"?>
<Properties xmlns="http://schemas.openxmlformats.org/officeDocument/2006/custom-properties" xmlns:vt="http://schemas.openxmlformats.org/officeDocument/2006/docPropsVTypes"/>
</file>