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enyrgy-master-todo"/>
    <w:p>
      <w:pPr>
        <w:pStyle w:val="Heading1"/>
      </w:pPr>
      <w:r>
        <w:t xml:space="preserve">Enyrgy Master TODO</w:t>
      </w:r>
    </w:p>
    <w:p>
      <w:pPr>
        <w:pStyle w:val="FirstParagraph"/>
      </w:pPr>
      <w:r>
        <w:rPr>
          <w:b/>
          <w:bCs/>
        </w:rPr>
        <w:t xml:space="preserve">Consolidated open-items list. Reconciled against the live state as of July 28, 2026 (Session 15).</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 ENABLED (July 28).</w:t>
      </w:r>
    </w:p>
    <w:p>
      <w:pPr>
        <w:pStyle w:val="Compact"/>
        <w:numPr>
          <w:ilvl w:val="1"/>
          <w:numId w:val="1003"/>
        </w:numPr>
      </w:pPr>
      <w:r>
        <w:t xml:space="preserve">Referral and Reviews —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 what approving does →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 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 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(DEFERRED — decided July 28)</w:t>
      </w:r>
      <w:r>
        <w:t xml:space="preserve"> </w:t>
      </w:r>
      <w:r>
        <w:t xml:space="preserve">— NOT implementing a third-party Shopify referral app (ReferralCandy/Smile.io). The next version of Enyrgy will ship a built-in loyalty/referral program instead. WF-07’s referral link stays an intentional placeholder until then. The Referral and Reviews agent’s review/testimonial functions are ready now; its referral function waits for the built-in program (see section 6).</w:t>
      </w:r>
    </w:p>
    <w:p>
      <w:pPr>
        <w:pStyle w:val="Compact"/>
        <w:numPr>
          <w:ilvl w:val="0"/>
          <w:numId w:val="1016"/>
        </w:numPr>
      </w:pPr>
      <w:r>
        <w:rPr>
          <w:b/>
          <w:bCs/>
        </w:rPr>
        <w:t xml:space="preserve">Trustpilot</w:t>
      </w:r>
      <w:r>
        <w:t xml:space="preserve"> </w:t>
      </w:r>
      <w:r>
        <w:t xml:space="preserve">— permanent review URL + post-purchase automation.</w:t>
      </w:r>
    </w:p>
    <w:p>
      <w:pPr>
        <w:pStyle w:val="Compact"/>
        <w:numPr>
          <w:ilvl w:val="0"/>
          <w:numId w:val="1017"/>
        </w:numPr>
      </w:pPr>
      <w:r>
        <w:rPr>
          <w:b/>
          <w:bCs/>
        </w:rPr>
        <w:t xml:space="preserve">FlexOffers affiliate attribution —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 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 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the other capture workflows for the same pattern</w:t>
      </w:r>
      <w:r>
        <w:t xml:space="preserve"> </w:t>
      </w:r>
      <w:r>
        <w:t xml:space="preserve">— WF-15/18/19 pages do not collect phone or SMS consent, so they are not exposed, but confirm no other conditional tag is being applied unconditionally anywhere.</w:t>
      </w:r>
    </w:p>
    <w:p>
      <w:pPr>
        <w:pStyle w:val="Compact"/>
        <w:numPr>
          <w:ilvl w:val="0"/>
          <w:numId w:val="1025"/>
        </w:numPr>
      </w:pPr>
      <w:r>
        <w:rPr>
          <w:b/>
          <w:bCs/>
        </w:rPr>
        <w:t xml:space="preserve">FlexOffers remaining (waiting on the FlexOffers rep, emailed July 29)</w:t>
      </w:r>
    </w:p>
    <w:p>
      <w:pPr>
        <w:pStyle w:val="Compact"/>
        <w:numPr>
          <w:ilvl w:val="1"/>
          <w:numId w:val="1026"/>
        </w:numPr>
      </w:pPr>
      <w:r>
        <w:t xml:space="preserve">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complete the quiz, verify the contact’s FlexOffers Refid populates. Free verification of the click-to-capture path.</w:t>
      </w:r>
    </w:p>
    <w:p>
      <w:pPr>
        <w:pStyle w:val="Compact"/>
        <w:numPr>
          <w:ilvl w:val="1"/>
          <w:numId w:val="1027"/>
        </w:numPr>
      </w:pPr>
      <w:r>
        <w:t xml:space="preserve">Ask FlexOffers to</w:t>
      </w:r>
      <w:r>
        <w:t xml:space="preserve"> </w:t>
      </w:r>
      <w:r>
        <w:rPr>
          <w:b/>
          <w:bCs/>
        </w:rPr>
        <w:t xml:space="preserve">surface program 250377</w:t>
      </w:r>
      <w:r>
        <w:t xml:space="preserve"> </w:t>
      </w:r>
      <w:r>
        <w:t xml:space="preserve">to the network and migrate the</w:t>
      </w:r>
      <w:r>
        <w:t xml:space="preserve"> </w:t>
      </w:r>
      <w:r>
        <w:rPr>
          <w:b/>
          <w:bCs/>
        </w:rPr>
        <w:t xml:space="preserve">124 publishers</w:t>
      </w:r>
      <w:r>
        <w:t xml:space="preserve"> </w:t>
      </w:r>
      <w:r>
        <w:t xml:space="preserve">approved on the old program (#247334). Approvals are per-program, so 250377 has ZERO publishers today and nobody can promote the tracked link.</w:t>
      </w:r>
    </w:p>
    <w:p>
      <w:pPr>
        <w:pStyle w:val="Compact"/>
        <w:numPr>
          <w:ilvl w:val="1"/>
          <w:numId w:val="1028"/>
        </w:numPr>
      </w:pPr>
      <w:r>
        <w:rPr>
          <w:b/>
          <w:bCs/>
        </w:rPr>
        <w:t xml:space="preserve">After</w:t>
      </w:r>
      <w:r>
        <w:t xml:space="preserve"> </w:t>
      </w:r>
      <w:r>
        <w:t xml:space="preserve">publishers migrate,</w:t>
      </w:r>
      <w:r>
        <w:t xml:space="preserve"> </w:t>
      </w:r>
      <w:r>
        <w:rPr>
          <w:b/>
          <w:bCs/>
        </w:rPr>
        <w:t xml:space="preserve">disable old creative #6673701</w:t>
      </w:r>
      <w:r>
        <w:t xml:space="preserve"> </w:t>
      </w:r>
      <w:r>
        <w:t xml:space="preserve">(Tired Test on the old program, no S2S tracking, so anyone promoting it earns nothing and sours the relationship).</w:t>
      </w:r>
    </w:p>
    <w:p>
      <w:pPr>
        <w:pStyle w:val="Compact"/>
        <w:numPr>
          <w:ilvl w:val="1"/>
          <w:numId w:val="1029"/>
        </w:numPr>
      </w:pP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pStyle w:val="Compact"/>
        <w:numPr>
          <w:ilvl w:val="1"/>
          <w:numId w:val="1030"/>
        </w:numPr>
      </w:pPr>
      <w:r>
        <w:t xml:space="preserve">Delete the FlexOffers test contacts once the postback test is done. Keep ONE (any of them) for that test since it holds a refid; delete the rest:</w:t>
      </w:r>
      <w:r>
        <w:t xml:space="preserve"> </w:t>
      </w:r>
      <w:r>
        <w:rPr>
          <w:rStyle w:val="VerbatimChar"/>
        </w:rPr>
        <w:t xml:space="preserve">scott+fotest2@</w:t>
      </w:r>
      <w:r>
        <w:t xml:space="preserve">,</w:t>
      </w:r>
      <w:r>
        <w:t xml:space="preserve"> </w:t>
      </w:r>
      <w:r>
        <w:rPr>
          <w:rStyle w:val="VerbatimChar"/>
        </w:rPr>
        <w:t xml:space="preserve">scott+vdatest@</w:t>
      </w:r>
      <w:r>
        <w:t xml:space="preserve">,</w:t>
      </w:r>
      <w:r>
        <w:t xml:space="preserve"> </w:t>
      </w:r>
      <w:r>
        <w:rPr>
          <w:rStyle w:val="VerbatimChar"/>
        </w:rPr>
        <w:t xml:space="preserve">scott+vdatest2@</w:t>
      </w:r>
      <w:r>
        <w:t xml:space="preserve">,</w:t>
      </w:r>
      <w:r>
        <w:t xml:space="preserve"> </w:t>
      </w:r>
      <w:r>
        <w:rPr>
          <w:rStyle w:val="VerbatimChar"/>
        </w:rPr>
        <w:t xml:space="preserve">scott+sgtest@</w:t>
      </w:r>
      <w:r>
        <w:t xml:space="preserve">,</w:t>
      </w:r>
      <w:r>
        <w:t xml:space="preserve"> </w:t>
      </w:r>
      <w:r>
        <w:rPr>
          <w:rStyle w:val="VerbatimChar"/>
        </w:rPr>
        <w:t xml:space="preserve">scott+sgtest2@</w:t>
      </w:r>
      <w:r>
        <w:t xml:space="preserve">,</w:t>
      </w:r>
      <w:r>
        <w:t xml:space="preserve"> </w:t>
      </w:r>
      <w:r>
        <w:rPr>
          <w:rStyle w:val="VerbatimChar"/>
        </w:rPr>
        <w:t xml:space="preserve">scott+rptest@</w:t>
      </w:r>
      <w:r>
        <w:t xml:space="preserve">,</w:t>
      </w:r>
      <w:r>
        <w:t xml:space="preserve"> </w:t>
      </w:r>
      <w:r>
        <w:rPr>
          <w:rStyle w:val="VerbatimChar"/>
        </w:rPr>
        <w:t xml:space="preserve">scott+rptest2@</w:t>
      </w:r>
      <w:r>
        <w:t xml:space="preserve">,</w:t>
      </w:r>
      <w:r>
        <w:t xml:space="preserve"> </w:t>
      </w:r>
      <w:r>
        <w:rPr>
          <w:rStyle w:val="VerbatimChar"/>
        </w:rPr>
        <w:t xml:space="preserve">scott+rptest3@</w:t>
      </w:r>
      <w:r>
        <w:t xml:space="preserve">,</w:t>
      </w:r>
      <w:r>
        <w:t xml:space="preserve"> </w:t>
      </w:r>
      <w:r>
        <w:rPr>
          <w:rStyle w:val="VerbatimChar"/>
        </w:rPr>
        <w:t xml:space="preserve">scott+wptest@</w:t>
      </w:r>
      <w:r>
        <w:t xml:space="preserve">,</w:t>
      </w:r>
      <w:r>
        <w:t xml:space="preserve"> </w:t>
      </w:r>
      <w:r>
        <w:rPr>
          <w:rStyle w:val="VerbatimChar"/>
        </w:rPr>
        <w:t xml:space="preserve">scott+wptest2@</w:t>
      </w:r>
      <w:r>
        <w:t xml:space="preserve"> </w:t>
      </w:r>
      <w:r>
        <w:t xml:space="preserve">(all</w:t>
      </w:r>
      <w:r>
        <w:t xml:space="preserve"> </w:t>
      </w:r>
      <w:r>
        <w:rPr>
          <w:rStyle w:val="VerbatimChar"/>
        </w:rPr>
        <w:t xml:space="preserve">@enyrgy.com</w:t>
      </w:r>
      <w:r>
        <w:t xml:space="preserve">). They sit in the live pipeline and are enrolled in nurture sequences.</w:t>
      </w:r>
    </w:p>
    <w:p>
      <w:pPr>
        <w:pStyle w:val="Compact"/>
        <w:numPr>
          <w:ilvl w:val="0"/>
          <w:numId w:val="1031"/>
        </w:numPr>
      </w:pPr>
      <w:r>
        <w:rPr>
          <w:b/>
          <w:bCs/>
        </w:rPr>
        <w:t xml:space="preserve">Testimonial-form link on enyrgy.com</w:t>
      </w:r>
      <w:r>
        <w:t xml:space="preserve"> </w:t>
      </w:r>
      <w:r>
        <w:t xml:space="preserve">— DONE (July 28). Link added to the website.</w:t>
      </w:r>
    </w:p>
    <w:p>
      <w:pPr>
        <w:pStyle w:val="Compact"/>
        <w:numPr>
          <w:ilvl w:val="0"/>
          <w:numId w:val="1032"/>
        </w:numPr>
      </w:pPr>
      <w:r>
        <w:rPr>
          <w:b/>
          <w:bCs/>
        </w:rPr>
        <w:t xml:space="preserve">CNAM caller-ID registration</w:t>
      </w:r>
      <w:r>
        <w:t xml:space="preserve"> </w:t>
      </w:r>
      <w:r>
        <w:t xml:space="preserve">— DONE. Already Approved in LC Phone with Friendly Name</w:t>
      </w:r>
      <w:r>
        <w:t xml:space="preserve"> </w:t>
      </w:r>
      <w:r>
        <w:t xml:space="preserve">“Enyrgy Inc”</w:t>
      </w:r>
      <w:r>
        <w:t xml:space="preserve">; outbound calls display the business name.</w:t>
      </w:r>
    </w:p>
    <w:p>
      <w:pPr>
        <w:pStyle w:val="Compact"/>
        <w:numPr>
          <w:ilvl w:val="0"/>
          <w:numId w:val="1033"/>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 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34"/>
        </w:numPr>
      </w:pPr>
      <w:r>
        <w:rPr>
          <w:b/>
          <w:bCs/>
        </w:rPr>
        <w:t xml:space="preserve">Complete the investor contact spreadsheet</w:t>
      </w:r>
      <w:r>
        <w:t xml:space="preserve"> </w:t>
      </w:r>
      <w:r>
        <w:t xml:space="preserve">(100+ contacts), then import.</w:t>
      </w:r>
    </w:p>
    <w:p>
      <w:pPr>
        <w:pStyle w:val="Compact"/>
        <w:numPr>
          <w:ilvl w:val="0"/>
          <w:numId w:val="1035"/>
        </w:numPr>
      </w:pPr>
      <w:r>
        <w:rPr>
          <w:b/>
          <w:bCs/>
        </w:rPr>
        <w:t xml:space="preserve">Investor Presentation calendar</w:t>
      </w:r>
      <w:r>
        <w:t xml:space="preserve"> </w:t>
      </w:r>
      <w:r>
        <w:t xml:space="preserve">— conflict detection verified/fixed (July 28).</w:t>
      </w:r>
    </w:p>
    <w:p>
      <w:pPr>
        <w:pStyle w:val="Compact"/>
        <w:numPr>
          <w:ilvl w:val="0"/>
          <w:numId w:val="1036"/>
        </w:numPr>
      </w:pPr>
      <w:r>
        <w:rPr>
          <w:b/>
          <w:bCs/>
        </w:rPr>
        <w:t xml:space="preserve">Content assets</w:t>
      </w:r>
      <w:r>
        <w:t xml:space="preserve"> </w:t>
      </w:r>
      <w:r>
        <w:t xml:space="preserve">— 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37"/>
        </w:numPr>
      </w:pPr>
      <w:r>
        <w:rPr>
          <w:b/>
          <w:bCs/>
        </w:rPr>
        <w:t xml:space="preserve">Q2 2026 investor update</w:t>
      </w:r>
      <w:r>
        <w:t xml:space="preserve"> </w:t>
      </w:r>
      <w:r>
        <w:t xml:space="preserve">— SENT TO BRIAN for review (July 28). Awaiting Brian + securities-attorney sign-off before sending; send only to existing/already-introduced investors. Standalone</w:t>
      </w:r>
      <w:r>
        <w:t xml:space="preserve"> </w:t>
      </w:r>
      <w:r>
        <w:rPr>
          <w:rStyle w:val="VerbatimChar"/>
        </w:rPr>
        <w:t xml:space="preserve">Enyrgy_Investor_Update_Q2_2026.docx</w:t>
      </w:r>
      <w:r>
        <w:t xml:space="preserve">. (Cash-position and amount-committed lines intentionally omitted; go-to-market + compounding-usage detail incorporated from the Brandon email.)</w:t>
      </w:r>
    </w:p>
    <w:bookmarkEnd w:id="12"/>
    <w:bookmarkStart w:id="13" w:name="X787c6ae49ec488fed45086d4c0a203c1e5c3e7f"/>
    <w:p>
      <w:pPr>
        <w:pStyle w:val="Heading2"/>
      </w:pPr>
      <w:r>
        <w:t xml:space="preserve">5. Strategic architecture decisions (mostly ratify, not build)</w:t>
      </w:r>
    </w:p>
    <w:p>
      <w:pPr>
        <w:pStyle w:val="Compact"/>
        <w:numPr>
          <w:ilvl w:val="0"/>
          <w:numId w:val="1038"/>
        </w:numPr>
      </w:pPr>
      <w:r>
        <w:rPr>
          <w:b/>
          <w:bCs/>
        </w:rPr>
        <w:t xml:space="preserve">Shopify to GHL purchase sync</w:t>
      </w:r>
      <w:r>
        <w:t xml:space="preserve"> </w:t>
      </w:r>
      <w:r>
        <w:t xml:space="preserve">— the EA flags this as the top gap, but it predates the Session 11 native integration + WF-27/28/29, which largely built it. Reconcile the EA and ratify rather than rebuild.</w:t>
      </w:r>
    </w:p>
    <w:p>
      <w:pPr>
        <w:pStyle w:val="Compact"/>
        <w:numPr>
          <w:ilvl w:val="0"/>
          <w:numId w:val="1039"/>
        </w:numPr>
      </w:pPr>
      <w:r>
        <w:rPr>
          <w:b/>
          <w:bCs/>
        </w:rPr>
        <w:t xml:space="preserve">System-of-record ownership map</w:t>
      </w:r>
      <w:r>
        <w:t xml:space="preserve"> </w:t>
      </w:r>
      <w:r>
        <w:t xml:space="preserve">— ratify the documented SoR (decision/doc task).</w:t>
      </w:r>
    </w:p>
    <w:p>
      <w:pPr>
        <w:pStyle w:val="Compact"/>
        <w:numPr>
          <w:ilvl w:val="0"/>
          <w:numId w:val="1040"/>
        </w:numPr>
      </w:pPr>
      <w:r>
        <w:rPr>
          <w:b/>
          <w:bCs/>
        </w:rPr>
        <w:t xml:space="preserve">Device App to GHL usage-data flow</w:t>
      </w:r>
      <w:r>
        <w:t xml:space="preserve"> </w:t>
      </w:r>
      <w:r>
        <w:t xml:space="preserve">— deferred</w:t>
      </w:r>
      <w:r>
        <w:t xml:space="preserve"> </w:t>
      </w:r>
      <w:r>
        <w:t xml:space="preserve">“Phase 2-plus”</w:t>
      </w:r>
      <w:r>
        <w:t xml:space="preserve">; decide whether/how usage data flows, with privacy treatment.</w:t>
      </w:r>
    </w:p>
    <w:p>
      <w:pPr>
        <w:pStyle w:val="Compact"/>
        <w:numPr>
          <w:ilvl w:val="0"/>
          <w:numId w:val="1041"/>
        </w:numPr>
      </w:pPr>
      <w:r>
        <w:rPr>
          <w:b/>
          <w:bCs/>
        </w:rPr>
        <w:t xml:space="preserve">OEM / Lumanova data boundary</w:t>
      </w:r>
      <w:r>
        <w:t xml:space="preserve"> </w:t>
      </w:r>
      <w:r>
        <w:t xml:space="preserve">— formalize an auditable path as the partner program grows.</w:t>
      </w:r>
    </w:p>
    <w:p>
      <w:pPr>
        <w:pStyle w:val="Compact"/>
        <w:numPr>
          <w:ilvl w:val="0"/>
          <w:numId w:val="1042"/>
        </w:numPr>
      </w:pPr>
      <w:r>
        <w:rPr>
          <w:b/>
          <w:bCs/>
        </w:rPr>
        <w:t xml:space="preserve">Metric governance owner</w:t>
      </w:r>
      <w:r>
        <w:t xml:space="preserve"> </w:t>
      </w:r>
      <w:r>
        <w:t xml:space="preserve">— figures reconciled; assign a single owner.</w:t>
      </w:r>
    </w:p>
    <w:p>
      <w:pPr>
        <w:pStyle w:val="Compact"/>
        <w:numPr>
          <w:ilvl w:val="0"/>
          <w:numId w:val="1043"/>
        </w:numPr>
      </w:pPr>
      <w:r>
        <w:rPr>
          <w:b/>
          <w:bCs/>
        </w:rPr>
        <w:t xml:space="preserve">Facility address exception</w:t>
      </w:r>
      <w:r>
        <w:t xml:space="preserve"> </w:t>
      </w:r>
      <w:r>
        <w:t xml:space="preserve">— RESOLVED (July 28). All Shopify policies (Privacy, Terms, Refund) updated to 5115 N 27th Ave, Bld 66, Phoenix, AZ 85017.</w:t>
      </w:r>
    </w:p>
    <w:p>
      <w:pPr>
        <w:pStyle w:val="Compact"/>
        <w:numPr>
          <w:ilvl w:val="0"/>
          <w:numId w:val="1044"/>
        </w:numPr>
      </w:pPr>
      <w:r>
        <w:rPr>
          <w:b/>
          <w:bCs/>
        </w:rPr>
        <w:t xml:space="preserve">Status-lifecycle representation</w:t>
      </w:r>
      <w:r>
        <w:t xml:space="preserve"> </w:t>
      </w:r>
      <w:r>
        <w:t xml:space="preserve">(minor) —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3"/>
    <w:bookmarkStart w:id="14" w:name="future-optional"/>
    <w:p>
      <w:pPr>
        <w:pStyle w:val="Heading2"/>
      </w:pPr>
      <w:r>
        <w:t xml:space="preserve">6. Future / optional</w:t>
      </w:r>
    </w:p>
    <w:p>
      <w:pPr>
        <w:pStyle w:val="Compact"/>
        <w:numPr>
          <w:ilvl w:val="0"/>
          <w:numId w:val="1045"/>
        </w:numPr>
      </w:pPr>
      <w:r>
        <w:rPr>
          <w:b/>
          <w:bCs/>
        </w:rPr>
        <w:t xml:space="preserve">Built-in loyalty/referral program</w:t>
      </w:r>
      <w:r>
        <w:t xml:space="preserve"> </w:t>
      </w:r>
      <w:r>
        <w:t xml:space="preserve">— 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46"/>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47"/>
        </w:numPr>
      </w:pPr>
      <w:r>
        <w:rPr>
          <w:b/>
          <w:bCs/>
        </w:rPr>
        <w:t xml:space="preserve">The other five Phase-2 agents</w:t>
      </w:r>
      <w:r>
        <w:t xml:space="preserve"> </w:t>
      </w:r>
      <w:r>
        <w:t xml:space="preserve">— Proposal Writer, OEM Pipeline, Podcast Attribution, Clinical Concierge, Billing. Add only after the core is stable.</w:t>
      </w:r>
    </w:p>
    <w:p>
      <w:pPr>
        <w:pStyle w:val="Compact"/>
        <w:numPr>
          <w:ilvl w:val="0"/>
          <w:numId w:val="1048"/>
        </w:numPr>
      </w:pPr>
      <w:r>
        <w:rPr>
          <w:b/>
          <w:bCs/>
        </w:rPr>
        <w:t xml:space="preserve">Paid acquisition</w:t>
      </w:r>
      <w:r>
        <w:t xml:space="preserve"> </w:t>
      </w:r>
      <w:r>
        <w:t xml:space="preserve">(Meta/Google) — after domain warmup finishes.</w:t>
      </w:r>
    </w:p>
    <w:p>
      <w:pPr>
        <w:pStyle w:val="Compact"/>
        <w:numPr>
          <w:ilvl w:val="0"/>
          <w:numId w:val="1049"/>
        </w:numPr>
      </w:pPr>
      <w:r>
        <w:rPr>
          <w:b/>
          <w:bCs/>
        </w:rPr>
        <w:t xml:space="preserve">Domain warmup ramp</w:t>
      </w:r>
      <w:r>
        <w:t xml:space="preserve"> </w:t>
      </w:r>
      <w:r>
        <w:t xml:space="preserve">— 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p>
    <w:p>
      <w:pPr>
        <w:pStyle w:val="Compact"/>
        <w:numPr>
          <w:ilvl w:val="0"/>
          <w:numId w:val="1050"/>
        </w:numPr>
      </w:pPr>
      <w:r>
        <w:rPr>
          <w:b/>
          <w:bCs/>
        </w:rPr>
        <w:t xml:space="preserve">Form embeds</w:t>
      </w:r>
      <w:r>
        <w:t xml:space="preserve"> </w:t>
      </w:r>
      <w:r>
        <w:t xml:space="preserve">— Commercial Inquiry + Partner Application forms onto go.enyrgy.com (developer).</w:t>
      </w:r>
    </w:p>
    <w:p>
      <w:pPr>
        <w:pStyle w:val="Compact"/>
        <w:numPr>
          <w:ilvl w:val="0"/>
          <w:numId w:val="1051"/>
        </w:numPr>
      </w:pPr>
      <w:r>
        <w:rPr>
          <w:b/>
          <w:bCs/>
        </w:rPr>
        <w:t xml:space="preserve">Upgrade the abandoned-checkout Railway service off trial</w:t>
      </w:r>
      <w:r>
        <w:t xml:space="preserve"> </w:t>
      </w:r>
      <w:r>
        <w:t xml:space="preserve">(may already be on Hobby; confirm).</w:t>
      </w:r>
    </w:p>
    <w:bookmarkEnd w:id="14"/>
    <w:bookmarkStart w:id="15" w:name="documentation-hygiene"/>
    <w:p>
      <w:pPr>
        <w:pStyle w:val="Heading2"/>
      </w:pPr>
      <w:r>
        <w:t xml:space="preserve">7. Documentation hygiene</w:t>
      </w:r>
    </w:p>
    <w:p>
      <w:pPr>
        <w:pStyle w:val="Compact"/>
        <w:numPr>
          <w:ilvl w:val="0"/>
          <w:numId w:val="1052"/>
        </w:numPr>
      </w:pPr>
      <w:r>
        <w:rPr>
          <w:b/>
          <w:bCs/>
        </w:rPr>
        <w:t xml:space="preserve">Refresh the EA to v1.1 (July 28)</w:t>
      </w:r>
      <w:r>
        <w:t xml:space="preserve"> </w:t>
      </w:r>
      <w:r>
        <w:t xml:space="preserve">— 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pStyle w:val="Compact"/>
        <w:numPr>
          <w:ilvl w:val="0"/>
          <w:numId w:val="1053"/>
        </w:numPr>
      </w:pPr>
      <w:r>
        <w:rPr>
          <w:b/>
          <w:bCs/>
        </w:rPr>
        <w:t xml:space="preserve">IG loose ends</w:t>
      </w:r>
      <w:r>
        <w:t xml:space="preserve"> </w:t>
      </w:r>
      <w:r>
        <w:t xml:space="preserve">— WF-23/WF-24 numbering gap (confirm not unbuilt), Winter/Tired-Test URLs missing from the Key URLs table, blank team contact fields (Dennis Lan, Dario Pompeii, Millie Carrillo, Thea Cartier).</w:t>
      </w:r>
    </w:p>
    <w:p>
      <w:pPr>
        <w:pStyle w:val="Compact"/>
        <w:numPr>
          <w:ilvl w:val="0"/>
          <w:numId w:val="1054"/>
        </w:numPr>
      </w:pPr>
      <w:r>
        <w:rPr>
          <w:b/>
          <w:bCs/>
        </w:rPr>
        <w:t xml:space="preserve">WIP</w:t>
      </w:r>
      <w:r>
        <w:t xml:space="preserve"> </w:t>
      </w:r>
      <w:r>
        <w:t xml:space="preserve">— correct the</w:t>
      </w:r>
      <w:r>
        <w:t xml:space="preserve"> </w:t>
      </w:r>
      <w:r>
        <w:t xml:space="preserve">“24-agent”</w:t>
      </w:r>
      <w:r>
        <w:t xml:space="preserve"> </w:t>
      </w:r>
      <w:r>
        <w:t xml:space="preserve">count to</w:t>
      </w:r>
      <w:r>
        <w:t xml:space="preserve"> </w:t>
      </w:r>
      <w:r>
        <w:t xml:space="preserve">“16-agent core (22 with additions).”</w:t>
      </w:r>
    </w:p>
    <w:bookmarkEnd w:id="15"/>
    <w:bookmarkStart w:id="16" w:name="X4ef6576507d0fd69ab3954b626c150ac8397a60"/>
    <w:p>
      <w:pPr>
        <w:pStyle w:val="Heading2"/>
      </w:pPr>
      <w:r>
        <w:t xml:space="preserve">8. Standing operating discipline (adopted Session 15)</w:t>
      </w:r>
    </w:p>
    <w:p>
      <w:pPr>
        <w:pStyle w:val="Compact"/>
        <w:numPr>
          <w:ilvl w:val="0"/>
          <w:numId w:val="1055"/>
        </w:numPr>
      </w:pPr>
      <w:r>
        <w:rPr>
          <w:b/>
          <w:bCs/>
        </w:rPr>
        <w:t xml:space="preserve">Verify agent audits/verifications against the live GHL account before acting.</w:t>
      </w:r>
      <w:r>
        <w:t xml:space="preserve"> </w:t>
      </w:r>
      <w:r>
        <w:t xml:space="preserve">Agents confabulate under credit starvation —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056"/>
        </w:numPr>
      </w:pPr>
      <w:r>
        <w:rPr>
          <w:b/>
          <w:bCs/>
        </w:rPr>
        <w:t xml:space="preserve">Keep credit buffered and watch the Costs page.</w:t>
      </w:r>
      <w:r>
        <w:t xml:space="preserve"> </w:t>
      </w:r>
      <w:r>
        <w:t xml:space="preserve">Starvation is more expensive than headroom, not cheaper.</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3"/>
  </w:num>
  <w:num w:numId="1032">
    <w:abstractNumId w:val="993"/>
  </w:num>
  <w:num w:numId="1033">
    <w:abstractNumId w:val="992"/>
  </w:num>
  <w:num w:numId="1034">
    <w:abstractNumId w:val="992"/>
  </w:num>
  <w:num w:numId="1035">
    <w:abstractNumId w:val="993"/>
  </w:num>
  <w:num w:numId="1036">
    <w:abstractNumId w:val="993"/>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3"/>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3"/>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2026-07-31T00:47:20Z</dcterms:created>
  <dcterms:modified xsi:type="dcterms:W3CDTF">2026-07-31T00:47:20Z</dcterms:modified>
</cp:coreProperties>
</file>

<file path=docProps/custom.xml><?xml version="1.0" encoding="utf-8"?>
<Properties xmlns="http://schemas.openxmlformats.org/officeDocument/2006/custom-properties" xmlns:vt="http://schemas.openxmlformats.org/officeDocument/2006/docPropsVTypes"/>
</file>