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pPr>
        <w:pStyle w:val="BodyText"/>
      </w:pPr>
      <w:r>
        <w:rPr>
          <w:b/>
          <w:bCs/>
        </w:rPr>
        <w:t xml:space="preserve">If a person names a health condition, an injury, or a medication, stop and read section 16 before replying.</w:t>
      </w:r>
      <w:r>
        <w:t xml:space="preserve"> </w:t>
      </w:r>
      <w:r>
        <w:t xml:space="preserve">Never clear anyone for use, and never treat absence from the contraindication list as clearance.</w:t>
      </w:r>
    </w:p>
    <w:bookmarkStart w:id="1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 “600+ customers” overstates unit sales. Use “600+ users” 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(fractional CFO).</w:t>
      </w:r>
    </w:p>
    <w:p>
      <w:pPr>
        <w:pStyle w:val="Compact"/>
        <w:numPr>
          <w:ilvl w:val="0"/>
          <w:numId w:val="1001"/>
        </w:numPr>
      </w:pPr>
      <w:r>
        <w:t xml:space="preserve">Founder track record (verified, investor-facing): Scott Hansbury,</w:t>
      </w:r>
      <w:r>
        <w:t xml:space="preserve"> </w:t>
      </w:r>
      <w:r>
        <w:rPr>
          <w:b/>
          <w:bCs/>
        </w:rPr>
        <w:t xml:space="preserve">five exits from his previous eight startups totaling $500M+ in enterprise value, plus eleven M&amp;A transactions led, buy-side and sell-side, representing an additional $249M</w:t>
      </w:r>
      <w:r>
        <w:t xml:space="preserve"> </w:t>
      </w:r>
      <w:r>
        <w:t xml:space="preserve">(confirmed by Scott, 2026-08-25). Enyrgy is his ninth startup.</w:t>
      </w:r>
      <w:r>
        <w:t xml:space="preserve"> </w:t>
      </w:r>
      <w:r>
        <w:rPr>
          <w:b/>
          <w:bCs/>
        </w:rPr>
        <w:t xml:space="preserve">State the two figures separately and never combine them into a single total</w:t>
      </w:r>
      <w:r>
        <w:t xml:space="preserve">, since they describe different work: the $500M is exit value from companies he founded or helped build, the $249M is transaction value from deals he led. David Letourneau, scaled Alair Homes from 1 to 100+ locations, $750M+ in sales.</w:t>
      </w:r>
      <w:r>
        <w:t xml:space="preserve"> </w:t>
      </w:r>
      <w:r>
        <w:rPr>
          <w:b/>
          <w:bCs/>
        </w:rPr>
        <w:t xml:space="preserve">Brian Cameron, fractional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19"/>
    <w:bookmarkStart w:id="2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 “Precision Vitamin D Wellness Platform,” “Primal Light Platform” 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 “light does five” 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(“no other solution delivers all three”):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20"/>
    <w:bookmarkStart w:id="2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 “HSA/FSA eligible through Truemed”. Never explain eligibility in condition-or-treatment terms and never describe the Letter of Medical Necessity.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 “Limited batches” 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rPr>
          <w:b/>
          <w:bCs/>
        </w:rPr>
        <w:t xml:space="preserve">Take-home retail margin: approximately $600 per device</w:t>
      </w:r>
      <w:r>
        <w:t xml:space="preserve"> </w:t>
      </w:r>
      <w:r>
        <w:t xml:space="preserve">to a facility or shop reselling consumer units. Confirmed by Scott during the Facility Overview build. This is the second margin line quoted to commercial facilities, sitting on top of the in-clinic recurring revenue from the modality, and it is the figure a facility will hold Enyrgy to in a margin conversation.</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21"/>
    <w:bookmarkStart w:id="2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 “Pilot” implies a pre-launch or beta program, and this study ran months after Enyrgy went to full production in the market. The word understates the product’s maturity while doing nothing to improve the honesty of the caveat, which “small, N = 5, no control group” already carries in full.</w:t>
      </w:r>
    </w:p>
    <w:p>
      <w:pPr>
        <w:pStyle w:val="Compact"/>
        <w:numPr>
          <w:ilvl w:val="0"/>
          <w:numId w:val="1006"/>
        </w:numPr>
      </w:pPr>
      <w:r>
        <w:rPr>
          <w:b/>
          <w:bCs/>
        </w:rPr>
        <w:t xml:space="preserve">Write “the five participants,” not “five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w:t>
      </w:r>
      <w:r>
        <w:t xml:space="preserve"> </w:t>
      </w:r>
      <w:r>
        <w:rPr>
          <w:b/>
          <w:bCs/>
        </w:rPr>
        <w:t xml:space="preserve">the contraindication list and the rules for inbound health questions are in section 16, and they govern any conversation where a person names a condition, an injury, or a medication.</w:t>
      </w:r>
      <w:r>
        <w:t xml:space="preserve"> </w:t>
      </w:r>
      <w:r>
        <w:t xml:space="preserve">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 “2 to 4 minutes a day” is accurate.</w:t>
      </w:r>
    </w:p>
    <w:p>
      <w:pPr>
        <w:pStyle w:val="Compact"/>
        <w:numPr>
          <w:ilvl w:val="0"/>
          <w:numId w:val="1006"/>
        </w:numPr>
      </w:pPr>
      <w:r>
        <w:t xml:space="preserve">Return rate under 1 percent, roughly 5 to 10x better than the industry average.</w:t>
      </w:r>
    </w:p>
    <w:bookmarkStart w:id="2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 “research shows,” attribute to the study, and do not claim the Enyrgy device itself was tested for these outcomes. Keep it non-medical (Enyrgy is a wellness device): describe how vitamin D supports bone and recovery; never “treat”, “heal”, “cure”, or “fix”. Do not overstate (“proves”, “definitively superior”, “conclusive”); the studies support the mechanism, they are not device trials. Full compilation on file (Research/Bone Health).</w:t>
      </w:r>
    </w:p>
    <w:p>
      <w:pPr>
        <w:pStyle w:val="BodyText"/>
      </w:pPr>
      <w:r>
        <w:t xml:space="preserve">Approved figures with sources: -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 - Performance threshold: peak neuromuscular performance is associated with 25(OH)D around 50 ng/mL (Shuler et al., Sports Health 2012). - UVB vs pills: narrowband UVB three times per week raised vitamin D more effectively than 1600 IU per day of oral D3 in a randomized trial (Bogh et al., British Journal of Dermatology 2012). - Source share and half-life: UVB contributes roughly 80 to 90 percent of circulating 25(OH)D (diet and supplements 10 to 20 percent), with a longer half-life, about 21 to 30 days (Owens et al., Sports Medicine 2018; Holick et al., JBMR 2007). -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 - Fracture healing: natural vitamin D synthesis supports bone callus formation and mineralization at fracture sites (Fischer et al., ECM 2018). - Dosing reference used in the research: roughly 10 to 15 minutes of midday sun, three times per week. -</w:t>
      </w:r>
      <w:r>
        <w:t xml:space="preserve"> </w:t>
      </w:r>
      <w:r>
        <w:rPr>
          <w:b/>
          <w:bCs/>
        </w:rPr>
        <w:t xml:space="preserve">Prevalence, the citable number. This supersedes the previously unsourced “77 percent” 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 “Global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 “deficiency”. Never call 76.6 percent a deficiency rate. (2) The population is</w:t>
      </w:r>
      <w:r>
        <w:t xml:space="preserve"> </w:t>
      </w:r>
      <w:r>
        <w:rPr>
          <w:b/>
          <w:bCs/>
        </w:rPr>
        <w:t xml:space="preserve">global and aged 1 and over</w:t>
      </w:r>
      <w:r>
        <w:t xml:space="preserve">, so say “people”, never “adults”, never “Americans”, never “indoor”.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 or “76.6 percent of people worldwide are below 30 ng/mL”. -</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 “Is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22"/>
    <w:bookmarkEnd w:id="23"/>
    <w:bookmarkStart w:id="2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 “advisory board includes Dr. Bruce Hollis.” Compliance note: any public claim that an advisor “reviewed and endorsed” the platform must have the advisor’s documented consent on file, per FTC endorsement rules.</w:t>
      </w:r>
    </w:p>
    <w:bookmarkEnd w:id="24"/>
    <w:bookmarkStart w:id="2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25"/>
    <w:bookmarkStart w:id="2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26"/>
    <w:bookmarkStart w:id="27" w:name="claim-precision-corrected"/>
    <w:p>
      <w:pPr>
        <w:pStyle w:val="Heading2"/>
      </w:pPr>
      <w:r>
        <w:t xml:space="preserve">8. Claim precision (corrected)</w:t>
      </w:r>
    </w:p>
    <w:p>
      <w:pPr>
        <w:pStyle w:val="FirstParagraph"/>
      </w:pPr>
      <w:r>
        <w:t xml:space="preserve">The “one in four” 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 “in these trials” or “in the trials” in copy: lifted out of this KB the citation stays behind and the phrase reads as though Enyrgy ran them. Investor-facing copy may name them as the Carlberg trials. (Carlberg, VitDmet and VitDbol trials, Nutrients 2023, 15(15):3382). Never say “one in four cannot absorb,” “supplements fail one in four,” or “one in four Americans.” This supersedes the older phrasing in Implementation Guide v3.9 Section 22 (Session 8 correction). Every claim must be exactly as verifiable as stated: no superlatives, no inflation, no unverifiable characterizations.</w:t>
      </w:r>
    </w:p>
    <w:bookmarkEnd w:id="27"/>
    <w:bookmarkStart w:id="2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 “Sunlight.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28"/>
    <w:bookmarkStart w:id="2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 “no supplement produces nitric oxide” is false framing and must never be used.</w:t>
      </w:r>
    </w:p>
    <w:bookmarkEnd w:id="29"/>
    <w:bookmarkStart w:id="3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p>
      <w:pPr>
        <w:pStyle w:val="BodyText"/>
      </w:pPr>
      <w:r>
        <w:rPr>
          <w:b/>
          <w:bCs/>
        </w:rPr>
        <w:t xml:space="preserve">One exemption: the contraindication list in section 16.</w:t>
      </w:r>
      <w:r>
        <w:t xml:space="preserve"> </w:t>
      </w:r>
      <w:r>
        <w:t xml:space="preserve">It is a safety disclosure and must go out verbatim, “diagnosed” and all. Scrubbing it to pass this scan breaks it.</w:t>
      </w:r>
    </w:p>
    <w:bookmarkEnd w:id="30"/>
    <w:bookmarkStart w:id="3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31"/>
    <w:bookmarkStart w:id="3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32"/>
    <w:bookmarkStart w:id="3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Hand off to Scott, same as white-label and distribution. Scott handles referral arrangements personally (decision, Aug 14 2026).</w:t>
      </w:r>
    </w:p>
    <w:bookmarkEnd w:id="33"/>
    <w:bookmarkStart w:id="34" w:name="X4c841973e31ed136422f0c15a4f362a6c73c44a"/>
    <w:p>
      <w:pPr>
        <w:pStyle w:val="Heading2"/>
      </w:pPr>
      <w:r>
        <w:t xml:space="preserve">14b. Commercial dealer program (ESCALATE TO SCOTT)</w:t>
      </w:r>
    </w:p>
    <w:p>
      <w:pPr>
        <w:pStyle w:val="FirstParagraph"/>
      </w:pPr>
      <w:r>
        <w:rPr>
          <w:b/>
          <w:bCs/>
        </w:rPr>
        <w:t xml:space="preserve">Agents must not run a dealer conversation.</w:t>
      </w:r>
      <w:r>
        <w:t xml:space="preserve"> </w:t>
      </w:r>
      <w:r>
        <w:t xml:space="preserve">Terms, territory and registration are Scott’s, the same as white-label, distribution and the facility referral arrangement above. An agent may explain that the program exists and hand off. Nothing below is a negotiating position.</w:t>
      </w:r>
    </w:p>
    <w:p>
      <w:pPr>
        <w:pStyle w:val="BodyText"/>
      </w:pPr>
      <w:r>
        <w:rPr>
          <w:b/>
          <w:bCs/>
        </w:rPr>
        <w:t xml:space="preserve">What it is.</w:t>
      </w:r>
      <w:r>
        <w:t xml:space="preserve"> </w:t>
      </w:r>
      <w:r>
        <w:t xml:space="preserve">Dealers resell the</w:t>
      </w:r>
      <w:r>
        <w:t xml:space="preserve"> </w:t>
      </w:r>
      <w:r>
        <w:rPr>
          <w:b/>
          <w:bCs/>
        </w:rPr>
        <w:t xml:space="preserve">$8,950 commercial unit</w:t>
      </w:r>
      <w:r>
        <w:t xml:space="preserve"> </w:t>
      </w:r>
      <w:r>
        <w:t xml:space="preserve">and earn a commission on the final sale price. This is</w:t>
      </w:r>
      <w:r>
        <w:t xml:space="preserve"> </w:t>
      </w:r>
      <w:r>
        <w:rPr>
          <w:b/>
          <w:bCs/>
        </w:rPr>
        <w:t xml:space="preserve">not</w:t>
      </w:r>
      <w:r>
        <w:t xml:space="preserve"> </w:t>
      </w:r>
      <w:r>
        <w:t xml:space="preserve">the facility referral arrangement in section 14, which pays $600 on a $2,995 consumer unit that the member buys directly from Enyrgy. Different product, different terms, different people. Never describe the two in the same breath to a prospect.</w:t>
      </w:r>
    </w:p>
    <w:p>
      <w:pPr>
        <w:pStyle w:val="BodyText"/>
      </w:pPr>
      <w:r>
        <w:rPr>
          <w:b/>
          <w:bCs/>
        </w:rPr>
        <w:t xml:space="preserve">Not US-only.</w:t>
      </w:r>
      <w:r>
        <w:t xml:space="preserve"> </w:t>
      </w:r>
      <w:r>
        <w:t xml:space="preserve">Commission is calculated on the actual sale price expressed in</w:t>
      </w:r>
      <w:r>
        <w:t xml:space="preserve"> </w:t>
      </w:r>
      <w:r>
        <w:rPr>
          <w:b/>
          <w:bCs/>
        </w:rPr>
        <w:t xml:space="preserve">USD</w:t>
      </w:r>
      <w:r>
        <w:t xml:space="preserve">, whatever the dealer’s local currency.</w:t>
      </w:r>
    </w:p>
    <w:p>
      <w:pPr>
        <w:pStyle w:val="BodyText"/>
      </w:pPr>
      <w:r>
        <w:rPr>
          <w:b/>
          <w:bCs/>
        </w:rPr>
        <w:t xml:space="preserve">The commission ladder, tied to the final sale price: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w:t>
            </w:r>
          </w:p>
        </w:tc>
        <w:tc>
          <w:tcPr/>
          <w:p>
            <w:pPr>
              <w:pStyle w:val="Compact"/>
            </w:pPr>
            <w:r>
              <w:t xml:space="preserve">$7,160.00</w:t>
            </w:r>
          </w:p>
        </w:tc>
      </w:tr>
    </w:tbl>
    <w:p>
      <w:pPr>
        <w:pStyle w:val="BodyText"/>
      </w:pPr>
      <w:r>
        <w:rPr>
          <w:b/>
          <w:bCs/>
        </w:rPr>
        <w:t xml:space="preserve">$7,160 is the MAP floor.</w:t>
      </w:r>
      <w:r>
        <w:t xml:space="preserve"> </w:t>
      </w:r>
      <w:r>
        <w:t xml:space="preserve">A deal below it is flagged and pays no commission at all. The dealer discounts against their own commission, which is the point of the structure: they can compete on price, but only with their own margin.</w:t>
      </w:r>
    </w:p>
    <w:p>
      <w:pPr>
        <w:pStyle w:val="BodyText"/>
      </w:pPr>
      <w:r>
        <w:rPr>
          <w:b/>
          <w:bCs/>
        </w:rPr>
        <w:t xml:space="preserve">Deal registration.</w:t>
      </w:r>
      <w:r>
        <w:t xml:space="preserve"> </w:t>
      </w:r>
      <w:r>
        <w:t xml:space="preserve">A dealer registers a named facility and holds attribution on it for</w:t>
      </w:r>
      <w:r>
        <w:t xml:space="preserve"> </w:t>
      </w:r>
      <w:r>
        <w:rPr>
          <w:b/>
          <w:bCs/>
        </w:rPr>
        <w:t xml:space="preserve">90 days</w:t>
      </w:r>
      <w:r>
        <w:t xml:space="preserve">. Registration runs through a form unique to that dealer, tracked as an Opportunity in the Commercial B2B pipeline. Build detail lives in the Implementation Guide section 12 and</w:t>
      </w:r>
      <w:r>
        <w:t xml:space="preserve"> </w:t>
      </w:r>
      <w:r>
        <w:rPr>
          <w:rStyle w:val="VerbatimChar"/>
        </w:rPr>
        <w:t xml:space="preserve">campaigns/dealer-onboarding.md</w:t>
      </w:r>
      <w:r>
        <w:t xml:space="preserve">; agents need only know that registration exists, that it expires, and that the roster of other dealers is confidential.</w:t>
      </w:r>
    </w:p>
    <w:p>
      <w:pPr>
        <w:pStyle w:val="BodyText"/>
      </w:pPr>
      <w:r>
        <w:rPr>
          <w:b/>
          <w:bCs/>
        </w:rPr>
        <w:t xml:space="preserve">Never disclose the dealer roster.</w:t>
      </w:r>
      <w:r>
        <w:t xml:space="preserve"> </w:t>
      </w:r>
      <w:r>
        <w:t xml:space="preserve">Who else sells for Enyrgy, and by inference which territories are covered and how large the network is, is competitive intelligence. Each dealer sees only their own name on their own form, deliberately.</w:t>
      </w:r>
    </w:p>
    <w:bookmarkEnd w:id="34"/>
    <w:bookmarkStart w:id="35" w:name="key-reference-facts-quick-lookup"/>
    <w:p>
      <w:pPr>
        <w:pStyle w:val="Heading2"/>
      </w:pPr>
      <w:r>
        <w:t xml:space="preserve">15. Key reference facts (quick lookup)</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69"/>
        <w:gridCol w:w="6750"/>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Users</w:t>
            </w:r>
          </w:p>
        </w:tc>
        <w:tc>
          <w:tcPr/>
          <w:p>
            <w:pPr>
              <w:pStyle w:val="Compact"/>
            </w:pPr>
            <w:r>
              <w:t xml:space="preserve">600+ across 5 countries (</w:t>
            </w:r>
            <w:r>
              <w:rPr>
                <w:b/>
                <w:bCs/>
              </w:rPr>
              <w:t xml:space="preserve">say users, not customers</w:t>
            </w:r>
            <w:r>
              <w:t xml:space="preserve">)</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Dealer commission</w:t>
            </w:r>
          </w:p>
        </w:tc>
        <w:tc>
          <w:tcPr/>
          <w:p>
            <w:pPr>
              <w:pStyle w:val="Compact"/>
            </w:pPr>
            <w:r>
              <w:t xml:space="preserve">25 / 20 / 16 percent on final sale price, MAP floor $7,160 (section 14b)</w:t>
            </w:r>
          </w:p>
        </w:tc>
      </w:tr>
      <w:tr>
        <w:tc>
          <w:tcPr/>
          <w:p>
            <w:pPr>
              <w:pStyle w:val="Compact"/>
            </w:pPr>
            <w:r>
              <w:t xml:space="preserve">Facility referral</w:t>
            </w:r>
          </w:p>
        </w:tc>
        <w:tc>
          <w:tcPr/>
          <w:p>
            <w:pPr>
              <w:pStyle w:val="Compact"/>
            </w:pPr>
            <w:r>
              <w:t xml:space="preserve">$600 per Consumer Unit sale (section 14, escalate to Scott)</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bookmarkEnd w:id="35"/>
    <w:bookmarkStart w:id="43" w:name="X3c8fab249a12745cd8b0fe4a60814613a930d17"/>
    <w:p>
      <w:pPr>
        <w:pStyle w:val="Heading2"/>
      </w:pPr>
      <w:r>
        <w:t xml:space="preserve">16. Contraindications and inbound health questions (safety, non-negotiable)</w:t>
      </w:r>
    </w:p>
    <w:p>
      <w:pPr>
        <w:pStyle w:val="FirstParagraph"/>
      </w:pPr>
      <w:r>
        <w:rPr>
          <w:b/>
          <w:bCs/>
        </w:rPr>
        <w:t xml:space="preserve">Source: the Enyrgy User Guide that ships with every unit.</w:t>
      </w:r>
      <w:r>
        <w:t xml:space="preserve"> </w:t>
      </w:r>
      <w:r>
        <w:t xml:space="preserve">This is a safety disclosure, not marketing copy. Reproduce it as written. No agent may shorten it, soften it, restate it in its own words, add to it, or reason from it to a condition it does not name.</w:t>
      </w:r>
    </w:p>
    <w:bookmarkStart w:id="36" w:name="the-list-verbatim"/>
    <w:p>
      <w:pPr>
        <w:pStyle w:val="Heading3"/>
      </w:pPr>
      <w:r>
        <w:t xml:space="preserve">16.1 The list, verbatim</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16"/>
        </w:numPr>
      </w:pPr>
      <w:r>
        <w:t xml:space="preserve">Do not use if Pregnant</w:t>
      </w:r>
    </w:p>
    <w:p>
      <w:pPr>
        <w:pStyle w:val="Compact"/>
        <w:numPr>
          <w:ilvl w:val="0"/>
          <w:numId w:val="1016"/>
        </w:numPr>
      </w:pPr>
      <w:r>
        <w:t xml:space="preserve">Do not use if diagnosed with UV Light Sensitivity</w:t>
      </w:r>
    </w:p>
    <w:p>
      <w:pPr>
        <w:pStyle w:val="Compact"/>
        <w:numPr>
          <w:ilvl w:val="0"/>
          <w:numId w:val="1016"/>
        </w:numPr>
      </w:pPr>
      <w:r>
        <w:t xml:space="preserve">Do not use if on photosensitizing medication</w:t>
      </w:r>
    </w:p>
    <w:p>
      <w:pPr>
        <w:pStyle w:val="Compact"/>
        <w:numPr>
          <w:ilvl w:val="0"/>
          <w:numId w:val="1016"/>
        </w:numPr>
      </w:pPr>
      <w:r>
        <w:t xml:space="preserve">Do not use if diagnosed with HIV-AIDS</w:t>
      </w:r>
    </w:p>
    <w:p>
      <w:pPr>
        <w:pStyle w:val="Compact"/>
        <w:numPr>
          <w:ilvl w:val="0"/>
          <w:numId w:val="1016"/>
        </w:numPr>
      </w:pPr>
      <w:r>
        <w:t xml:space="preserve">Do not use if diagnosed with Active Skin Cancer</w:t>
      </w:r>
    </w:p>
    <w:p>
      <w:pPr>
        <w:pStyle w:val="Compact"/>
        <w:numPr>
          <w:ilvl w:val="0"/>
          <w:numId w:val="1016"/>
        </w:numPr>
      </w:pPr>
      <w:r>
        <w:t xml:space="preserve">Do not use if diagnosed with UV light sensitivities: Protoporphyria (EPP), UV-sensitive syndrome, Photodermatitis, Xeroderma pigmentosum (XP), Lupus erythematosus, or Actinic dermatitis</w:t>
      </w:r>
    </w:p>
    <w:p>
      <w:pPr>
        <w:pStyle w:val="Compact"/>
        <w:numPr>
          <w:ilvl w:val="0"/>
          <w:numId w:val="1016"/>
        </w:numPr>
      </w:pPr>
      <w:r>
        <w:t xml:space="preserve">Do not use if diagnosed with UV light allergies: Actinic prurigo (hereditary PMLE), Polymorphous light eruption (PMLE), or Solar urticaria</w:t>
      </w:r>
    </w:p>
    <w:p>
      <w:pPr>
        <w:pStyle w:val="FirstParagraph"/>
      </w:pPr>
      <w:r>
        <w:t xml:space="preserve">The age minimum of 18 (section 9) applies on top of this list.</w:t>
      </w:r>
    </w:p>
    <w:bookmarkEnd w:id="36"/>
    <w:bookmarkStart w:id="37" w:name="Xfe5b76f7bdef9e74f6fe2238bfb78b1a0b0085c"/>
    <w:p>
      <w:pPr>
        <w:pStyle w:val="Heading3"/>
      </w:pPr>
      <w:r>
        <w:t xml:space="preserve">16.2 This list is exempt from the prohibited-words scan</w:t>
      </w:r>
    </w:p>
    <w:p>
      <w:pPr>
        <w:pStyle w:val="FirstParagraph"/>
      </w:pPr>
      <w:r>
        <w:t xml:space="preserve">The scan in section 11 blocks “diagnose” and “disease” in client-facing content. The contraindication list contains “diagnosed” five times by necessity, because naming the condition is the entire function of a safety disclosure.</w:t>
      </w:r>
      <w:r>
        <w:t xml:space="preserve"> </w:t>
      </w:r>
      <w:r>
        <w:rPr>
          <w:b/>
          <w:bCs/>
        </w:rPr>
        <w:t xml:space="preserve">An agent that scrubs those words to satisfy the scan breaks the disclosure.</w:t>
      </w:r>
      <w:r>
        <w:t xml:space="preserve"> </w:t>
      </w:r>
      <w:r>
        <w:t xml:space="preserve">Send it as written or do not send it. This is the only standing exemption to section 11.</w:t>
      </w:r>
    </w:p>
    <w:bookmarkEnd w:id="37"/>
    <w:bookmarkStart w:id="38" w:name="X7079cd488be367803663fc3ca74e1a7445ddb0b"/>
    <w:p>
      <w:pPr>
        <w:pStyle w:val="Heading3"/>
      </w:pPr>
      <w:r>
        <w:t xml:space="preserve">16.3 Photosensitizing medication is the item that carries real physical risk</w:t>
      </w:r>
    </w:p>
    <w:p>
      <w:pPr>
        <w:pStyle w:val="FirstParagraph"/>
      </w:pPr>
      <w:r>
        <w:t xml:space="preserve">The other entries describe conditions a person already knows they have. This one is different in two ways, and both matter.</w:t>
      </w:r>
    </w:p>
    <w:p>
      <w:pPr>
        <w:pStyle w:val="BodyText"/>
      </w:pPr>
      <w:r>
        <w:rPr>
          <w:b/>
          <w:bCs/>
        </w:rPr>
        <w:t xml:space="preserve">It is invisible to the device.</w:t>
      </w:r>
      <w:r>
        <w:t xml:space="preserve"> </w:t>
      </w:r>
      <w:r>
        <w:t xml:space="preserve">The app calculates each user’s dose from Fitzpatrick skin type and ends the session automatically (section 4). It has no knowledge of what the user takes. Photosensitizing drugs lower the dose at which skin burns, which is the documented reason this line sits on the list at all, so a dose set correctly for a skin type can exceed what that particular person’s skin tolerates. The automatic cutoff does not protect against this, because the variable it doses on is not the variable that changed.</w:t>
      </w:r>
    </w:p>
    <w:p>
      <w:pPr>
        <w:pStyle w:val="BodyText"/>
      </w:pPr>
      <w:r>
        <w:rPr>
          <w:b/>
          <w:bCs/>
        </w:rPr>
        <w:t xml:space="preserve">The safety record does not speak to this, in either direction.</w:t>
      </w:r>
      <w:r>
        <w:t xml:space="preserve"> </w:t>
      </w:r>
      <w:r>
        <w:t xml:space="preserve">We do not screen for photosensitizing drugs and do not record them, so nobody knows how many of the 25,000+ sessions involved someone taking one. The figure shows the dosing protocol has been safe across the people who have used it. It is not evidence that the protocol is safe for a photosensitized user, and it is not evidence of harm either. It is silent, because the variable was never measured.</w:t>
      </w:r>
      <w:r>
        <w:t xml:space="preserve"> </w:t>
      </w:r>
      <w:r>
        <w:rPr>
          <w:b/>
          <w:bCs/>
        </w:rPr>
        <w:t xml:space="preserve">Do not cite the safety record in answer to a photosensitivity question.</w:t>
      </w:r>
      <w:r>
        <w:t xml:space="preserve"> </w:t>
      </w:r>
      <w:r>
        <w:t xml:space="preserve">Citing it there presents an unmeasured variable as a tested one.</w:t>
      </w:r>
    </w:p>
    <w:p>
      <w:pPr>
        <w:pStyle w:val="BodyText"/>
      </w:pPr>
      <w:r>
        <w:rPr>
          <w:b/>
          <w:bCs/>
        </w:rPr>
        <w:t xml:space="preserve">People often do not know they are on one.</w:t>
      </w:r>
      <w:r>
        <w:t xml:space="preserve"> </w:t>
      </w:r>
      <w:r>
        <w:t xml:space="preserve">The category is wide and includes drugs nobody associates with sunlight: several antibiotic classes, some diuretics, some cardiac and antiarrhythmic drugs, some anti-inflammatories, some antifungals, some retinoids, and St John’s wort. Never list examples to a customer and never rule a specific drug in or out. The category is a physician’s question, and asking it is the whole point of the line above the list.</w:t>
      </w:r>
    </w:p>
    <w:p>
      <w:pPr>
        <w:pStyle w:val="BodyText"/>
      </w:pPr>
      <w:r>
        <w:t xml:space="preserve">Photosensitivity can also outlast the last dose, so “I stopped taking it” is not the same as clear. That timing question also belongs to their physician, not to us.</w:t>
      </w:r>
    </w:p>
    <w:bookmarkEnd w:id="38"/>
    <w:bookmarkStart w:id="39" w:name="Xac8e472bf725badfd76b7f636b4a5d32aa584fa"/>
    <w:p>
      <w:pPr>
        <w:pStyle w:val="Heading3"/>
      </w:pPr>
      <w:r>
        <w:t xml:space="preserve">16.4 How an agent handles an inbound health question</w:t>
      </w:r>
    </w:p>
    <w:p>
      <w:pPr>
        <w:pStyle w:val="FirstParagraph"/>
      </w:pPr>
      <w:r>
        <w:t xml:space="preserve">Someone describing a condition, an injury, a medication, or an ongoing course of care is not a normal inquiry. Handle it this way, every time.</w:t>
      </w:r>
    </w:p>
    <w:p>
      <w:pPr>
        <w:pStyle w:val="Compact"/>
        <w:numPr>
          <w:ilvl w:val="0"/>
          <w:numId w:val="1017"/>
        </w:numPr>
      </w:pPr>
      <w:r>
        <w:rPr>
          <w:b/>
          <w:bCs/>
        </w:rPr>
        <w:t xml:space="preserve">Never clear anyone.</w:t>
      </w:r>
      <w:r>
        <w:t xml:space="preserve"> </w:t>
      </w:r>
      <w:r>
        <w:t xml:space="preserve">Do not say a person is fine, is probably fine, sounds fine, or that their situation is not on the list.</w:t>
      </w:r>
      <w:r>
        <w:t xml:space="preserve"> </w:t>
      </w:r>
      <w:r>
        <w:rPr>
          <w:b/>
          <w:bCs/>
        </w:rPr>
        <w:t xml:space="preserve">Absence from the list is not clearance</w:t>
      </w:r>
      <w:r>
        <w:t xml:space="preserve">, and an agent has no standing to grant it.</w:t>
      </w:r>
    </w:p>
    <w:p>
      <w:pPr>
        <w:pStyle w:val="Compact"/>
        <w:numPr>
          <w:ilvl w:val="0"/>
          <w:numId w:val="1017"/>
        </w:numPr>
      </w:pPr>
      <w:r>
        <w:rPr>
          <w:b/>
          <w:bCs/>
        </w:rPr>
        <w:t xml:space="preserve">Never reason outward from the list.</w:t>
      </w:r>
      <w:r>
        <w:t xml:space="preserve"> </w:t>
      </w:r>
      <w:r>
        <w:t xml:space="preserve">It names what it names. Do not infer that a related condition is safe because it is unnamed, or unsafe because it resembles one that is.</w:t>
      </w:r>
    </w:p>
    <w:p>
      <w:pPr>
        <w:pStyle w:val="Compact"/>
        <w:numPr>
          <w:ilvl w:val="0"/>
          <w:numId w:val="1017"/>
        </w:numPr>
      </w:pPr>
      <w:r>
        <w:rPr>
          <w:b/>
          <w:bCs/>
        </w:rPr>
        <w:t xml:space="preserve">Never suggest a schedule, a session length, or a dose for a health situation.</w:t>
      </w:r>
      <w:r>
        <w:t xml:space="preserve"> </w:t>
      </w:r>
      <w:r>
        <w:t xml:space="preserve">The app sets dose. We do not.</w:t>
      </w:r>
    </w:p>
    <w:p>
      <w:pPr>
        <w:pStyle w:val="Compact"/>
        <w:numPr>
          <w:ilvl w:val="0"/>
          <w:numId w:val="1017"/>
        </w:numPr>
      </w:pPr>
      <w:r>
        <w:rPr>
          <w:b/>
          <w:bCs/>
        </w:rPr>
        <w:t xml:space="preserve">Never send the platform’s benefit story as the answer to a health question.</w:t>
      </w:r>
      <w:r>
        <w:t xml:space="preserve"> </w:t>
      </w:r>
      <w:r>
        <w:t xml:space="preserve">A person describing a condition is asking whether this helps or harms them. Reciting pathways answers a different question and reads as an answer to theirs.</w:t>
      </w:r>
    </w:p>
    <w:p>
      <w:pPr>
        <w:pStyle w:val="Compact"/>
        <w:numPr>
          <w:ilvl w:val="0"/>
          <w:numId w:val="1017"/>
        </w:numPr>
      </w:pPr>
      <w:r>
        <w:rPr>
          <w:b/>
          <w:bCs/>
        </w:rPr>
        <w:t xml:space="preserve">Do not solicit or record health details.</w:t>
      </w:r>
      <w:r>
        <w:t xml:space="preserve"> </w:t>
      </w:r>
      <w:r>
        <w:t xml:space="preserve">If they arrive unprompted, do not enter them in GHL custom fields, tags, or notes. Escalate the conversation instead.</w:t>
      </w:r>
    </w:p>
    <w:p>
      <w:pPr>
        <w:pStyle w:val="Compact"/>
        <w:numPr>
          <w:ilvl w:val="0"/>
          <w:numId w:val="1017"/>
        </w:numPr>
      </w:pPr>
      <w:r>
        <w:rPr>
          <w:b/>
          <w:bCs/>
        </w:rPr>
        <w:t xml:space="preserve">Give the list, name the physician conversation, stop there.</w:t>
      </w:r>
    </w:p>
    <w:p>
      <w:pPr>
        <w:pStyle w:val="Compact"/>
        <w:numPr>
          <w:ilvl w:val="0"/>
          <w:numId w:val="1017"/>
        </w:numPr>
      </w:pPr>
      <w:r>
        <w:rPr>
          <w:b/>
          <w:bCs/>
        </w:rPr>
        <w:t xml:space="preserve">Escalate to Scott</w:t>
      </w:r>
      <w:r>
        <w:t xml:space="preserve"> </w:t>
      </w:r>
      <w:r>
        <w:t xml:space="preserve">whenever the person names a specific condition, a medication, ongoing care, or asks for an arrangement outside the standard purchase. Do not run that conversation.</w:t>
      </w:r>
    </w:p>
    <w:p>
      <w:pPr>
        <w:pStyle w:val="FirstParagraph"/>
      </w:pPr>
      <w:r>
        <w:t xml:space="preserve">The honest position, and the one to hold: we do not know whether it helps or harms in a specific medical situation, the questions that would settle it are answerable by their physician in a few minutes, and pointing them there is a better answer than yes.</w:t>
      </w:r>
    </w:p>
    <w:bookmarkEnd w:id="39"/>
    <w:bookmarkStart w:id="40" w:name="X3883c1d2206e10653c9889d2dfe957a08beb348"/>
    <w:p>
      <w:pPr>
        <w:pStyle w:val="Heading3"/>
      </w:pPr>
      <w:r>
        <w:t xml:space="preserve">16.5 Vitamin D non-response is not a contraindication</w:t>
      </w:r>
    </w:p>
    <w:p>
      <w:pPr>
        <w:pStyle w:val="FirstParagraph"/>
      </w:pPr>
      <w:r>
        <w:t xml:space="preserve">The User Guide records, alongside the list: those who have polymorphisms in genes related to vitamin D metabolism (for example GC, CYP2R1, DHCR7) do not respond well to UVB, sometimes described as UVB non-responsiveness or vitamin D photoconversion resistance.</w:t>
      </w:r>
    </w:p>
    <w:p>
      <w:pPr>
        <w:pStyle w:val="BodyText"/>
      </w:pPr>
      <w:r>
        <w:rPr>
          <w:b/>
          <w:bCs/>
        </w:rPr>
        <w:t xml:space="preserve">This is a non-response caveat, not a safety exclusion.</w:t>
      </w:r>
      <w:r>
        <w:t xml:space="preserve"> </w:t>
      </w:r>
      <w:r>
        <w:t xml:space="preserve">Never phrase it as “do not use if.” It carries two implications worth stating plainly.</w:t>
      </w:r>
    </w:p>
    <w:p>
      <w:pPr>
        <w:pStyle w:val="Compact"/>
        <w:numPr>
          <w:ilvl w:val="0"/>
          <w:numId w:val="1018"/>
        </w:numPr>
      </w:pPr>
      <w:r>
        <w:t xml:space="preserve">It is the honest limit on the clinical result. The five participants all reached optimal (section 4). A person with these polymorphisms may not, through no failure of the platform. Testing before and after is what settles it for any individual, which is what we recommend anyway.</w:t>
      </w:r>
    </w:p>
    <w:p>
      <w:pPr>
        <w:pStyle w:val="Compact"/>
        <w:numPr>
          <w:ilvl w:val="0"/>
          <w:numId w:val="1018"/>
        </w:numPr>
      </w:pPr>
      <w:r>
        <w:t xml:space="preserve">The biology overlaps with the one-in-four low-responder figure for supplements (section 8) without being identical to it. GC and CYP2R1 act on vitamin D once it is in circulation, whichever route it arrived by, so they bear on both. DHCR7 governs the substrate available in skin, so it is specific to the light pathway. The practical rule that follows:</w:t>
      </w:r>
      <w:r>
        <w:t xml:space="preserve"> </w:t>
      </w:r>
      <w:r>
        <w:rPr>
          <w:b/>
          <w:bCs/>
        </w:rPr>
        <w:t xml:space="preserve">never present low response as a supplement problem the platform escapes.</w:t>
      </w:r>
      <w:r>
        <w:t xml:space="preserve"> </w:t>
      </w:r>
      <w:r>
        <w:t xml:space="preserve">The platform opens three pathways instead of one and is far more efficient at the vitamin D pathway, and that is the accurate comparison. It does not make vitamin D genetics irrelevant.</w:t>
      </w:r>
    </w:p>
    <w:bookmarkEnd w:id="40"/>
    <w:bookmarkStart w:id="41" w:name="use-on-intact-skin-only"/>
    <w:p>
      <w:pPr>
        <w:pStyle w:val="Heading3"/>
      </w:pPr>
      <w:r>
        <w:t xml:space="preserve">16.6 Use on intact skin only</w:t>
      </w:r>
    </w:p>
    <w:p>
      <w:pPr>
        <w:pStyle w:val="FirstParagraph"/>
      </w:pPr>
      <w:r>
        <w:rPr>
          <w:b/>
          <w:bCs/>
        </w:rPr>
        <w:t xml:space="preserve">Approved wording, use as written in every document and every reply:</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Why this exists.</w:t>
      </w:r>
      <w:r>
        <w:t xml:space="preserve"> </w:t>
      </w:r>
      <w:r>
        <w:t xml:space="preserve">It was missing from every Enyrgy document until August 2026, and the gap is not academic. Our own approved research points say adequate vitamin D supports wound repair (section 4). A person who reads that and then owns a UVB platform can reasonably conclude the light should go on the wound. Nothing we published told them otherwise.</w:t>
      </w:r>
    </w:p>
    <w:p>
      <w:pPr>
        <w:pStyle w:val="BodyText"/>
      </w:pPr>
      <w:r>
        <w:rPr>
          <w:b/>
          <w:bCs/>
        </w:rPr>
        <w:t xml:space="preserve">Agents must never build on that inference.</w:t>
      </w:r>
      <w:r>
        <w:t xml:space="preserve"> </w:t>
      </w:r>
      <w:r>
        <w:t xml:space="preserve">Do not suggest that a session supports a specific injury, do not answer a wound question with the bone and recovery research, and do not describe where to position anything. The line above, then the physician, then stop.</w:t>
      </w:r>
    </w:p>
    <w:bookmarkEnd w:id="41"/>
    <w:bookmarkStart w:id="42" w:name="why-the-pacemaker-line-was-removed"/>
    <w:p>
      <w:pPr>
        <w:pStyle w:val="Heading3"/>
      </w:pPr>
      <w:r>
        <w:t xml:space="preserve">16.7 Why the pacemaker line was removed</w:t>
      </w:r>
    </w:p>
    <w:p>
      <w:pPr>
        <w:pStyle w:val="FirstParagraph"/>
      </w:pPr>
      <w:r>
        <w:rPr>
          <w:b/>
          <w:bCs/>
        </w:rPr>
        <w:t xml:space="preserve">No dermatological source supports the exclusion.</w:t>
      </w:r>
      <w:r>
        <w:t xml:space="preserve"> </w:t>
      </w:r>
      <w:r>
        <w:t xml:space="preserve">The 2019 joint AAD and NPF phototherapy guidelines (Elmets et al.,</w:t>
      </w:r>
      <w:r>
        <w:t xml:space="preserve"> </w:t>
      </w:r>
      <w:r>
        <w:rPr>
          <w:i/>
          <w:iCs/>
        </w:rPr>
        <w:t xml:space="preserve">J Am Acad Dermatol</w:t>
      </w:r>
      <w:r>
        <w:t xml:space="preserve"> </w:t>
      </w:r>
      <w:r>
        <w:t xml:space="preserve">2019;81(3):775-804) treat narrowband UVB as having very few absolute contraindications: xeroderma pigmentosum and other photosensitive disorders. The relative contraindications they list are skin cancer history, photosensitivity disorders, autoimmune conditions such as lupus, pregnancy, immunosuppressive therapy, cataracts, and similar. Implanted cardiac devices appear in neither list.</w:t>
      </w:r>
    </w:p>
    <w:p>
      <w:pPr>
        <w:pStyle w:val="BodyText"/>
      </w:pPr>
      <w:r>
        <w:rPr>
          <w:b/>
          <w:bCs/>
        </w:rPr>
        <w:t xml:space="preserve">The origin appears to be equipment, not light.</w:t>
      </w:r>
      <w:r>
        <w:t xml:space="preserve"> </w:t>
      </w:r>
      <w:r>
        <w:t xml:space="preserve">Warnings of this shape are standard on tanning and cabinet-style UV equipment, where the concern is electromagnetic interference from the cabinet’s own electrical systems, its ballasts, fans and motors, rather than from the ultraviolet output. The therapeutic laser literature describes the same exclusion as a common misconception, on the grounds that implanted devices are metal-encased and unaffected by photons. Sunlight itself carries no such warning. Enyrgy’s platform is a wall-mounted unit the user stands against, not a powered cabinet they lie inside.</w:t>
      </w:r>
    </w:p>
    <w:p>
      <w:pPr>
        <w:pStyle w:val="BodyText"/>
      </w:pPr>
      <w:r>
        <w:rPr>
          <w:b/>
          <w:bCs/>
        </w:rPr>
        <w:t xml:space="preserve">What this does not mean, and the distinction agents must hold.</w:t>
      </w:r>
    </w:p>
    <w:p>
      <w:pPr>
        <w:pStyle w:val="Compact"/>
        <w:numPr>
          <w:ilvl w:val="0"/>
          <w:numId w:val="1019"/>
        </w:numPr>
      </w:pPr>
      <w:r>
        <w:rPr>
          <w:b/>
          <w:bCs/>
        </w:rPr>
        <w:t xml:space="preserve">Removal from the list is not clearance.</w:t>
      </w:r>
      <w:r>
        <w:t xml:space="preserve"> </w:t>
      </w:r>
      <w:r>
        <w:t xml:space="preserve">The rule in 16.4 governs unchanged: absence from the list never means a person is fine, and no agent may tell someone with a pacemaker that Enyrgy is safe for them. That is still their physician’s call.</w:t>
      </w:r>
    </w:p>
    <w:p>
      <w:pPr>
        <w:pStyle w:val="Compact"/>
        <w:numPr>
          <w:ilvl w:val="0"/>
          <w:numId w:val="1019"/>
        </w:numPr>
      </w:pPr>
      <w:r>
        <w:rPr>
          <w:b/>
          <w:bCs/>
        </w:rPr>
        <w:t xml:space="preserve">Never volunteer that the line was removed</w:t>
      </w:r>
      <w:r>
        <w:t xml:space="preserve">, and never present the removal as a safety finding. It is a correction to a list that carried an item without a basis.</w:t>
      </w:r>
    </w:p>
    <w:p>
      <w:pPr>
        <w:pStyle w:val="Compact"/>
        <w:numPr>
          <w:ilvl w:val="0"/>
          <w:numId w:val="1019"/>
        </w:numPr>
      </w:pPr>
      <w:r>
        <w:rPr>
          <w:b/>
          <w:bCs/>
        </w:rPr>
        <w:t xml:space="preserve">Units already in the field still show it.</w:t>
      </w:r>
      <w:r>
        <w:t xml:space="preserve"> </w:t>
      </w:r>
      <w:r>
        <w:t xml:space="preserve">Anyone who bought before this change has a manual listing Heart/Pacemaker. If they raise it, do not tell them their manual is wrong or that the concern was baseless. Confirm the current list, point them to their doctor, escalate to Scott.</w:t>
      </w:r>
    </w:p>
    <w:p>
      <w:pPr>
        <w:pStyle w:val="FirstParagraph"/>
      </w:pPr>
      <w:r>
        <w:rPr>
          <w:i/>
          <w:iCs/>
        </w:rPr>
        <w:t xml:space="preserve">CONFIDENTIAL - Enyrgy Inc - 5115 N 27th Ave, Bld 66, Phoenix, AZ 85017 - enyrgy.com - Sunlight. Evolved.</w:t>
      </w:r>
    </w:p>
    <w:bookmarkEnd w:id="42"/>
    <w:bookmarkEnd w:id="43"/>
    <w:bookmarkEnd w:id="4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Knowledge Base </w:t>
    </w:r>
    <w:proofErr w:type="gramStart"/>
    <w:r>
      <w:rPr>
        <w:rFonts w:ascii="Montserrat" w:eastAsia="Montserrat" w:hAnsi="Montserrat" w:cs="Montserrat"/>
        <w:b/>
        <w:bCs/>
        <w:color w:val="E64C38"/>
        <w:sz w:val="18"/>
        <w:szCs w:val="18"/>
      </w:rPr>
      <w:t xml:space="preserve">v2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2026-08-27T21:12:53Z</dcterms:created>
  <dcterms:modified xsi:type="dcterms:W3CDTF">2026-08-27T21:12:53Z</dcterms:modified>
</cp:coreProperties>
</file>

<file path=docProps/custom.xml><?xml version="1.0" encoding="utf-8"?>
<Properties xmlns="http://schemas.openxmlformats.org/officeDocument/2006/custom-properties" xmlns:vt="http://schemas.openxmlformats.org/officeDocument/2006/docPropsVTypes"/>
</file>