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w:t>
      </w:r>
      <w:r>
        <w:t xml:space="preserve"> </w:t>
      </w:r>
      <w:r>
        <w:t xml:space="preserve">“diagnosed”</w:t>
      </w:r>
      <w:r>
        <w:t xml:space="preserve"> </w:t>
      </w:r>
      <w:r>
        <w:t xml:space="preserve">and all. Scrubbing it to pass this scan breaks it.</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24"/>
    <w:bookmarkStart w:id="32"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25"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25"/>
    <w:bookmarkStart w:id="26" w:name="Xfe5b76f7bdef9e74f6fe2238bfb78b1a0b0085c"/>
    <w:p>
      <w:pPr>
        <w:pStyle w:val="Heading3"/>
      </w:pPr>
      <w:r>
        <w:t xml:space="preserve">16.2 This list is exempt from the prohibited-words scan</w:t>
      </w:r>
    </w:p>
    <w:p>
      <w:pPr>
        <w:pStyle w:val="FirstParagraph"/>
      </w:pPr>
      <w:r>
        <w:t xml:space="preserve">The scan in section 11 blocks</w:t>
      </w:r>
      <w:r>
        <w:t xml:space="preserve"> </w:t>
      </w:r>
      <w:r>
        <w:t xml:space="preserve">“diagnose”</w:t>
      </w:r>
      <w:r>
        <w:t xml:space="preserve"> </w:t>
      </w:r>
      <w:r>
        <w:t xml:space="preserve">and</w:t>
      </w:r>
      <w:r>
        <w:t xml:space="preserve"> </w:t>
      </w:r>
      <w:r>
        <w:t xml:space="preserve">“disease”</w:t>
      </w:r>
      <w:r>
        <w:t xml:space="preserve"> </w:t>
      </w:r>
      <w:r>
        <w:t xml:space="preserve">in client-facing content. The contraindication list contains</w:t>
      </w:r>
      <w:r>
        <w:t xml:space="preserve"> </w:t>
      </w:r>
      <w:r>
        <w:t xml:space="preserve">“diagnosed”</w:t>
      </w:r>
      <w:r>
        <w:t xml:space="preserve"> </w:t>
      </w:r>
      <w:r>
        <w:t xml:space="preserve">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26"/>
    <w:bookmarkStart w:id="27"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w:t>
      </w:r>
      <w:r>
        <w:t xml:space="preserve"> </w:t>
      </w:r>
      <w:r>
        <w:t xml:space="preserve">“I stopped taking it”</w:t>
      </w:r>
      <w:r>
        <w:t xml:space="preserve"> </w:t>
      </w:r>
      <w:r>
        <w:t xml:space="preserve">is not the same as clear. That timing question also belongs to their physician, not to us.</w:t>
      </w:r>
    </w:p>
    <w:bookmarkEnd w:id="27"/>
    <w:bookmarkStart w:id="28"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28"/>
    <w:bookmarkStart w:id="29"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w:t>
      </w:r>
      <w:r>
        <w:t xml:space="preserve"> </w:t>
      </w:r>
      <w:r>
        <w:t xml:space="preserve">“do not use if.”</w:t>
      </w:r>
      <w:r>
        <w:t xml:space="preserve"> </w:t>
      </w:r>
      <w:r>
        <w:t xml:space="preserve">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29"/>
    <w:bookmarkStart w:id="30"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30"/>
    <w:bookmarkStart w:id="31"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b/>
          <w:bCs/>
        </w:rPr>
        <w:t xml:space="preserve">Still outstanding:</w:t>
      </w:r>
      <w:r>
        <w:t xml:space="preserve"> </w:t>
      </w:r>
      <w:r>
        <w:t xml:space="preserve">the previous printing is with customers, and the decision has not been reviewed by counsel or the manufacturer.</w:t>
      </w:r>
    </w:p>
    <w:p>
      <w:pPr>
        <w:pStyle w:val="BodyText"/>
      </w:pPr>
      <w:r>
        <w:rPr>
          <w:i/>
          <w:iCs/>
        </w:rPr>
        <w:t xml:space="preserve">CONFIDENTIAL - Enyrgy Inc - 5115 N 27th Ave, Bld 66, Phoenix, AZ 85017 - enyrgy.com - Sunlight. Evolved.</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2026-08-24T15:15:21Z</dcterms:created>
  <dcterms:modified xsi:type="dcterms:W3CDTF">2026-08-24T15:15:21Z</dcterms:modified>
</cp:coreProperties>
</file>

<file path=docProps/custom.xml><?xml version="1.0" encoding="utf-8"?>
<Properties xmlns="http://schemas.openxmlformats.org/officeDocument/2006/custom-properties" xmlns:vt="http://schemas.openxmlformats.org/officeDocument/2006/docPropsVTypes"/>
</file>