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w:t>
      </w:r>
      <w:r>
        <w:t xml:space="preserve"> </w:t>
      </w:r>
      <w:r>
        <w:rPr>
          <w:b/>
          <w:bCs/>
        </w:rPr>
        <w:t xml:space="preserve">August 4, 2026 (end of Session 16)</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materialize.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w:t>
      </w:r>
      <w:r>
        <w:t xml:space="preserve"> </w:t>
      </w:r>
      <w:r>
        <w:t xml:space="preserve">WF-01’s Device User Check condition is now, after a third pass on Aug 7:</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r>
        <w:br/>
      </w:r>
      <w:r>
        <w:rPr>
          <w:rStyle w:val="VerbatimChar"/>
        </w:rPr>
        <w:t xml:space="preserve">  AND Email is not empty</w:t>
      </w:r>
    </w:p>
    <w:p>
      <w:pPr>
        <w:pStyle w:val="FirstParagraph"/>
      </w:pPr>
      <w:r>
        <w:rPr>
          <w:b/>
          <w:bCs/>
        </w:rPr>
        <w:t xml:space="preserve">The fourth clause was added Aug 7 after inbound spam calls did the same thing email had done.</w:t>
      </w:r>
      <w:r>
        <w:t xml:space="preserve"> </w:t>
      </w:r>
      <w:r>
        <w:t xml:space="preserve">GHL creates a contact for every inbound call, WF-01 routed them to</w:t>
      </w:r>
      <w:r>
        <w:t xml:space="preserve"> </w:t>
      </w:r>
      <w:r>
        <w:rPr>
          <w:rStyle w:val="VerbatimChar"/>
        </w:rPr>
        <w:t xml:space="preserve">Default Consumer</w:t>
      </w:r>
      <w:r>
        <w:t xml:space="preserve">, and four robocalls became four consumer leads with four Opportunities. Routing an email-less contact accomplishes nothing anyway: the Consumer Drip cannot send without an email, and WF-02’s SMS gate blocks the text without consent. Verified by the inverse of the Aug 4 test, a phone-only contact that previously came back tagged</w:t>
      </w:r>
      <w:r>
        <w:t xml:space="preserve"> </w:t>
      </w:r>
      <w:r>
        <w:rPr>
          <w:rStyle w:val="VerbatimChar"/>
        </w:rPr>
        <w:t xml:space="preserve">type_consumer</w:t>
      </w:r>
      <w:r>
        <w:t xml:space="preserve"> </w:t>
      </w:r>
      <w:r>
        <w:t xml:space="preserve">now receives no tags at all.</w:t>
      </w:r>
    </w:p>
    <w:p>
      <w:pPr>
        <w:pStyle w:val="BodyText"/>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Sweep done Aug 4, incident closed.</w:t>
      </w:r>
      <w:r>
        <w:t xml:space="preserve"> </w:t>
      </w:r>
      <w:r>
        <w:t xml:space="preserve">Filtering Contacts on</w:t>
      </w:r>
      <w:r>
        <w:t xml:space="preserve"> </w:t>
      </w:r>
      <w:r>
        <w:rPr>
          <w:rStyle w:val="VerbatimChar"/>
        </w:rPr>
        <w:t xml:space="preserve">Email contains @enyrgy.com</w:t>
      </w:r>
      <w:r>
        <w:t xml:space="preserve"> </w:t>
      </w:r>
      <w:r>
        <w:t xml:space="preserve">returned three records, all employees or contractors who are also device users. All three carry</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t>
      </w:r>
      <w:r>
        <w:t xml:space="preserve">from the Session 10 617-import and</w:t>
      </w:r>
      <w:r>
        <w:t xml:space="preserve"> </w:t>
      </w:r>
      <w:r>
        <w:rPr>
          <w:b/>
          <w:bCs/>
        </w:rPr>
        <w:t xml:space="preserve">no</w:t>
      </w:r>
      <w:r>
        <w:rPr>
          <w:b/>
          <w:bCs/>
        </w:rPr>
        <w:t xml:space="preserve"> </w:t>
      </w:r>
      <w:r>
        <w:rPr>
          <w:rStyle w:val="VerbatimChar"/>
          <w:b/>
          <w:bCs/>
        </w:rPr>
        <w:t xml:space="preserve">type_</w:t>
      </w:r>
      <w:r>
        <w:rPr>
          <w:b/>
          <w:bCs/>
        </w:rPr>
        <w:t xml:space="preserve"> </w:t>
      </w:r>
      <w:r>
        <w:rPr>
          <w:b/>
          <w:bCs/>
        </w:rPr>
        <w:t xml:space="preserve">tags</w:t>
      </w:r>
      <w:r>
        <w:t xml:space="preserve">, so none was ever routed as a lead.</w:t>
      </w:r>
      <w:r>
        <w:t xml:space="preserve"> </w:t>
      </w:r>
      <w:r>
        <w:rPr>
          <w:rStyle w:val="VerbatimChar"/>
        </w:rPr>
        <w:t xml:space="preserve">scott@enyrgy.com</w:t>
      </w:r>
      <w:r>
        <w:t xml:space="preserve"> </w:t>
      </w:r>
      <w:r>
        <w:t xml:space="preserve">was the only casualty and it has been deleted.</w:t>
      </w:r>
    </w:p>
    <w:p>
      <w:pPr>
        <w:pStyle w:val="BodyText"/>
      </w:pPr>
      <w:r>
        <w:rPr>
          <w:b/>
          <w:bCs/>
        </w:rPr>
        <w:t xml:space="preserve">They were deliberately not given</w:t>
      </w:r>
      <w:r>
        <w:rPr>
          <w:b/>
          <w:bCs/>
        </w:rPr>
        <w:t xml:space="preserve"> </w:t>
      </w:r>
      <w:r>
        <w:rPr>
          <w:rStyle w:val="VerbatimChar"/>
          <w:b/>
          <w:bCs/>
        </w:rPr>
        <w:t xml:space="preserve">no_route</w:t>
      </w:r>
      <w:r>
        <w:rPr>
          <w:b/>
          <w:bCs/>
        </w:rPr>
        <w:t xml:space="preserve">.</w:t>
      </w:r>
      <w:r>
        <w:t xml:space="preserve"> </w:t>
      </w:r>
      <w:r>
        <w:t xml:space="preserve">WF-01’s domain condition already excludes every</w:t>
      </w:r>
      <w:r>
        <w:t xml:space="preserve"> </w:t>
      </w:r>
      <w:r>
        <w:rPr>
          <w:rStyle w:val="VerbatimChar"/>
        </w:rPr>
        <w:t xml:space="preserve">@enyrgy.com</w:t>
      </w:r>
      <w:r>
        <w:t xml:space="preserve"> </w:t>
      </w:r>
      <w:r>
        <w:t xml:space="preserve">address before the tag check runs, and</w:t>
      </w:r>
      <w:r>
        <w:t xml:space="preserve"> </w:t>
      </w:r>
      <w:r>
        <w:rPr>
          <w:rStyle w:val="VerbatimChar"/>
        </w:rPr>
        <w:t xml:space="preserve">drip_bypass</w:t>
      </w:r>
      <w:r>
        <w:t xml:space="preserve"> </w:t>
      </w:r>
      <w:r>
        <w:t xml:space="preserve">covers the drips. A third redundant layer would dilute what the tag means where it actually matters.</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PRODUCT FEED: DECIDED AGAINST, August 16, 2026. Do not set one up until Shopify captures</w:t>
      </w:r>
      <w:r>
        <w:rPr>
          <w:b/>
          <w:bCs/>
        </w:rPr>
        <w:t xml:space="preserve"> </w:t>
      </w:r>
      <w:r>
        <w:rPr>
          <w:rStyle w:val="VerbatimChar"/>
          <w:b/>
          <w:bCs/>
        </w:rPr>
        <w:t xml:space="preserve">refid</w:t>
      </w:r>
      <w:r>
        <w:rPr>
          <w:b/>
          <w:bCs/>
        </w:rPr>
        <w:t xml:space="preserve">.</w:t>
      </w:r>
      <w:r>
        <w:t xml:space="preserve"> </w:t>
      </w:r>
      <w:r>
        <w:t xml:space="preserve">FlexOffers offers advertisers a product feed (Programs → Products) that publishes a product catalog so publishers can promote individual SKUs. It looks like an obvious win on the page and it is not, because it is incompatible with how 250377 attributes sales.</w:t>
      </w:r>
    </w:p>
    <w:p>
      <w:pPr>
        <w:pStyle w:val="BodyText"/>
      </w:pPr>
      <w:r>
        <w:rPr>
          <w:b/>
          <w:bCs/>
        </w:rPr>
        <w:t xml:space="preserve">Why it breaks.</w:t>
      </w:r>
      <w:r>
        <w:t xml:space="preserve"> </w:t>
      </w:r>
      <w:r>
        <w:t xml:space="preserve">Attribution is capture-and-postback: the five lead-magnet pages read</w:t>
      </w:r>
      <w:r>
        <w:t xml:space="preserve"> </w:t>
      </w:r>
      <w:r>
        <w:rPr>
          <w:rStyle w:val="VerbatimChar"/>
        </w:rPr>
        <w:t xml:space="preserve">refid</w:t>
      </w:r>
      <w:r>
        <w:t xml:space="preserve"> </w:t>
      </w:r>
      <w:r>
        <w:t xml:space="preserve">from the landing URL and store it, and WF-30 fires the postback on Order fulfilled gated on</w:t>
      </w:r>
      <w:r>
        <w:t xml:space="preserve"> </w:t>
      </w:r>
      <w:r>
        <w:rPr>
          <w:rStyle w:val="VerbatimChar"/>
        </w:rPr>
        <w:t xml:space="preserve">FlexOffers Refid is not empty</w:t>
      </w:r>
      <w:r>
        <w:t xml:space="preserve">. A product feed hands publishers product-level links that go</w:t>
      </w:r>
      <w:r>
        <w:t xml:space="preserve"> </w:t>
      </w:r>
      <w:r>
        <w:rPr>
          <w:b/>
          <w:bCs/>
        </w:rPr>
        <w:t xml:space="preserve">straight to</w:t>
      </w:r>
      <w:r>
        <w:rPr>
          <w:b/>
          <w:bCs/>
        </w:rPr>
        <w:t xml:space="preserve"> </w:t>
      </w:r>
      <w:r>
        <w:rPr>
          <w:rStyle w:val="VerbatimChar"/>
          <w:b/>
          <w:bCs/>
        </w:rPr>
        <w:t xml:space="preserve">shop.enyrgy.com</w:t>
      </w:r>
      <w:r>
        <w:rPr>
          <w:b/>
          <w:bCs/>
        </w:rPr>
        <w:t xml:space="preserve">, which runs none of that capture code</w:t>
      </w:r>
      <w:r>
        <w:t xml:space="preserve">. A visitor arrives on Shopify with a</w:t>
      </w:r>
      <w:r>
        <w:t xml:space="preserve"> </w:t>
      </w:r>
      <w:r>
        <w:rPr>
          <w:rStyle w:val="VerbatimChar"/>
        </w:rPr>
        <w:t xml:space="preserve">refid</w:t>
      </w:r>
      <w:r>
        <w:t xml:space="preserve"> </w:t>
      </w:r>
      <w:r>
        <w:t xml:space="preserve">nothing reads, buys, and WF-30 finds the field empty and sends no postback. The publisher earns nothing having done exactly what the feed invited. This is the same failure shape as the WF-25 reply path: the tool invites an action the system cannot pay for. It is also why</w:t>
      </w:r>
      <w:r>
        <w:t xml:space="preserve"> </w:t>
      </w:r>
      <w:r>
        <w:rPr>
          <w:b/>
          <w:bCs/>
        </w:rPr>
        <w:t xml:space="preserve">Deep Linking is OFF</w:t>
      </w:r>
      <w:r>
        <w:t xml:space="preserve"> </w:t>
      </w:r>
      <w:r>
        <w:t xml:space="preserve">on this program. A product feed is a deep-linking mechanism, and the reason it was rejected then still holds.</w:t>
      </w:r>
    </w:p>
    <w:p>
      <w:pPr>
        <w:pStyle w:val="BodyText"/>
      </w:pPr>
      <w:r>
        <w:rPr>
          <w:b/>
          <w:bCs/>
        </w:rPr>
        <w:t xml:space="preserve">Conditions to revisit.</w:t>
      </w:r>
      <w:r>
        <w:t xml:space="preserve"> </w:t>
      </w:r>
      <w:r>
        <w:t xml:space="preserve">Either (a) add</w:t>
      </w:r>
      <w:r>
        <w:t xml:space="preserve"> </w:t>
      </w:r>
      <w:r>
        <w:rPr>
          <w:rStyle w:val="VerbatimChar"/>
        </w:rPr>
        <w:t xml:space="preserve">refid</w:t>
      </w:r>
      <w:r>
        <w:t xml:space="preserve"> </w:t>
      </w:r>
      <w:r>
        <w:t xml:space="preserve">capture to the Shopify product pages and carry it into the order, after which direct product links attribute correctly and deep linking becomes viable generally, or (b) leave it. With</w:t>
      </w:r>
      <w:r>
        <w:t xml:space="preserve"> </w:t>
      </w:r>
      <w:r>
        <w:rPr>
          <w:b/>
          <w:bCs/>
        </w:rPr>
        <w:t xml:space="preserve">two SKUs</w:t>
      </w:r>
      <w:r>
        <w:t xml:space="preserve"> </w:t>
      </w:r>
      <w:r>
        <w:t xml:space="preserve">(</w:t>
      </w:r>
      <w:r>
        <w:rPr>
          <w:rStyle w:val="VerbatimChar"/>
        </w:rPr>
        <w:t xml:space="preserve">EN-UVB-020</w:t>
      </w:r>
      <w:r>
        <w:t xml:space="preserve"> </w:t>
      </w:r>
      <w:r>
        <w:t xml:space="preserve">and</w:t>
      </w:r>
      <w:r>
        <w:t xml:space="preserve"> </w:t>
      </w:r>
      <w:r>
        <w:rPr>
          <w:rStyle w:val="VerbatimChar"/>
        </w:rPr>
        <w:t xml:space="preserve">ENRG 011</w:t>
      </w:r>
      <w:r>
        <w:t xml:space="preserve">) a feed earns very little regardless; feeds pay off on large catalogs. Do NOT take the third option that suggests itself, pointing every feed</w:t>
      </w:r>
      <w:r>
        <w:t xml:space="preserve"> </w:t>
      </w:r>
      <w:r>
        <w:rPr>
          <w:rStyle w:val="VerbatimChar"/>
        </w:rPr>
        <w:t xml:space="preserve">LinkUrl</w:t>
      </w:r>
      <w:r>
        <w:t xml:space="preserve"> </w:t>
      </w:r>
      <w:r>
        <w:t xml:space="preserve">at a lead magnet. Publishers expect a product page, get a quiz, and it reads as bait-and-switch.</w:t>
      </w:r>
    </w:p>
    <w:p>
      <w:pPr>
        <w:pStyle w:val="BodyText"/>
      </w:pPr>
      <w:r>
        <w:rPr>
          <w:b/>
          <w:bCs/>
        </w:rPr>
        <w:t xml:space="preserve">If it is ever built:</w:t>
      </w:r>
      <w:r>
        <w:t xml:space="preserve"> </w:t>
      </w:r>
      <w:r>
        <w:t xml:space="preserve">FlexOffers accepts CSV or XML, requires</w:t>
      </w:r>
      <w:r>
        <w:t xml:space="preserve"> </w:t>
      </w:r>
      <w:r>
        <w:rPr>
          <w:rStyle w:val="VerbatimChar"/>
        </w:rPr>
        <w:t xml:space="preserve">AdvertiserId</w:t>
      </w:r>
      <w:r>
        <w:t xml:space="preserve">,</w:t>
      </w:r>
      <w:r>
        <w:t xml:space="preserve"> </w:t>
      </w:r>
      <w:r>
        <w:rPr>
          <w:rStyle w:val="VerbatimChar"/>
        </w:rPr>
        <w:t xml:space="preserve">Pid</w:t>
      </w:r>
      <w:r>
        <w:t xml:space="preserve">,</w:t>
      </w:r>
      <w:r>
        <w:t xml:space="preserve"> </w:t>
      </w:r>
      <w:r>
        <w:rPr>
          <w:rStyle w:val="VerbatimChar"/>
        </w:rPr>
        <w:t xml:space="preserve">Name</w:t>
      </w:r>
      <w:r>
        <w:t xml:space="preserve">,</w:t>
      </w:r>
      <w:r>
        <w:t xml:space="preserve"> </w:t>
      </w:r>
      <w:r>
        <w:rPr>
          <w:rStyle w:val="VerbatimChar"/>
        </w:rPr>
        <w:t xml:space="preserve">LinkUrl</w:t>
      </w:r>
      <w:r>
        <w:t xml:space="preserve">, and accepts the same CSV used for the website, so</w:t>
      </w:r>
      <w:r>
        <w:t xml:space="preserve"> </w:t>
      </w:r>
      <w:r>
        <w:rPr>
          <w:rStyle w:val="VerbatimChar"/>
        </w:rPr>
        <w:t xml:space="preserve">products_export_1.csv</w:t>
      </w:r>
      <w:r>
        <w:t xml:space="preserve"> </w:t>
      </w:r>
      <w:r>
        <w:t xml:space="preserve">is a starting point. The File Name convention is not in FlexOffers’ public docs; it is on the SPECIFICATIONS tab of that page.</w:t>
      </w:r>
    </w:p>
    <w:p>
      <w:pPr>
        <w:pStyle w:val="BodyText"/>
      </w:pP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campaigns/ (directory)</w:t>
            </w:r>
          </w:p>
        </w:tc>
        <w:tc>
          <w:tcPr/>
          <w:p>
            <w:pPr>
              <w:pStyle w:val="Compact"/>
            </w:pPr>
            <w:r>
              <w:t xml:space="preserve">Session 16, Aug 3</w:t>
            </w:r>
          </w:p>
        </w:tc>
        <w:tc>
          <w:tcPr/>
          <w:p>
            <w:pPr>
              <w:pStyle w:val="Compact"/>
            </w:pPr>
            <w:r>
              <w:t xml:space="preserve">.md + .docx per workflow</w:t>
            </w:r>
          </w:p>
        </w:tc>
        <w:tc>
          <w:tcPr/>
          <w:p>
            <w:pPr>
              <w:pStyle w:val="Compact"/>
            </w:pPr>
            <w:r>
              <w:rPr>
                <w:b/>
                <w:bCs/>
              </w:rPr>
              <w:t xml:space="preserve">All 19 workflows, 94 touches, 83 corrections.</w:t>
            </w:r>
            <w:r>
              <w:t xml:space="preserve"> </w:t>
            </w:r>
            <w:r>
              <w:t xml:space="preserve">Every live email and SMS in GHL, with a per-workflow change log recording what was corrected and why. Plus</w:t>
            </w:r>
            <w:r>
              <w:t xml:space="preserve"> </w:t>
            </w:r>
            <w:r>
              <w:rPr>
                <w:rStyle w:val="VerbatimChar"/>
              </w:rPr>
              <w:t xml:space="preserve">_INDEX</w:t>
            </w:r>
            <w:r>
              <w:t xml:space="preserve">,</w:t>
            </w:r>
            <w:r>
              <w:t xml:space="preserve"> </w:t>
            </w:r>
            <w:r>
              <w:rPr>
                <w:rStyle w:val="VerbatimChar"/>
              </w:rPr>
              <w:t xml:space="preserve">_LINKS</w:t>
            </w:r>
            <w:r>
              <w:t xml:space="preserve"> </w:t>
            </w:r>
            <w:r>
              <w:t xml:space="preserve">(canonical booking/form URLs),</w:t>
            </w:r>
            <w:r>
              <w:t xml:space="preserve"> </w:t>
            </w:r>
            <w:r>
              <w:rPr>
                <w:rStyle w:val="VerbatimChar"/>
              </w:rPr>
              <w:t xml:space="preserve">_TEMPLATE</w:t>
            </w:r>
            <w:r>
              <w:t xml:space="preserve"> </w:t>
            </w:r>
            <w:r>
              <w:t xml:space="preserve">and</w:t>
            </w:r>
            <w:r>
              <w:t xml:space="preserve"> </w:t>
            </w:r>
            <w:r>
              <w:rPr>
                <w:rStyle w:val="VerbatimChar"/>
              </w:rPr>
              <w:t xml:space="preserve">README</w:t>
            </w:r>
            <w:r>
              <w:t xml:space="preserve">. GHL is the source of truth: change GHL first, then the file. Created because Standing Rule 9 did not exist when this copy was written.</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16 sections, voice-passed.</w:t>
            </w:r>
            <w:r>
              <w:t xml:space="preserve"> </w:t>
            </w:r>
            <w:r>
              <w:rPr>
                <w:b/>
                <w:bCs/>
              </w:rPr>
              <w:t xml:space="preserve">NEW Aug 24, 2026: Section 16, Contraindications and inbound health questions.</w:t>
            </w:r>
            <w:r>
              <w:t xml:space="preserve"> </w:t>
            </w:r>
            <w:r>
              <w:t xml:space="preserve">The contraindication list from the User Manual plus the rules for any conversation where a person names a condition, an injury, or a medication: never clear anyone, never treat absence from the list as clearance, never reason outward from it, do not record health details in GHL, escalate to Scott.</w:t>
            </w:r>
            <w:r>
              <w:t xml:space="preserve"> </w:t>
            </w:r>
            <w:r>
              <w:rPr>
                <w:b/>
                <w:bCs/>
              </w:rPr>
              <w:t xml:space="preserve">16.2</w:t>
            </w:r>
            <w:r>
              <w:t xml:space="preserve"> </w:t>
            </w:r>
            <w:r>
              <w:t xml:space="preserve">records the one standing exemption to the Section 11 prohibited-words scan, since the list needs</w:t>
            </w:r>
            <w:r>
              <w:t xml:space="preserve"> </w:t>
            </w:r>
            <w:r>
              <w:t xml:space="preserve">“diagnosed”</w:t>
            </w:r>
            <w:r>
              <w:t xml:space="preserve"> </w:t>
            </w:r>
            <w:r>
              <w:t xml:space="preserve">five times and scrubbing it breaks the disclosure.</w:t>
            </w:r>
            <w:r>
              <w:t xml:space="preserve"> </w:t>
            </w:r>
            <w:r>
              <w:rPr>
                <w:b/>
                <w:bCs/>
              </w:rPr>
              <w:t xml:space="preserve">16.3</w:t>
            </w:r>
            <w:r>
              <w:t xml:space="preserve"> </w:t>
            </w:r>
            <w:r>
              <w:t xml:space="preserve">is the substantive one: the app doses from Fitzpatrick skin type and cannot know what a user takes, so a photosensitizing drug puts the automatic cutoff above that person’s burn threshold. The safety record is silent on this in both directions, because we never screened for those drugs or recorded them, so it must not be cited in answer to a photosensitivity question.</w:t>
            </w:r>
            <w:r>
              <w:t xml:space="preserve"> </w:t>
            </w:r>
            <w:r>
              <w:rPr>
                <w:b/>
                <w:bCs/>
              </w:rPr>
              <w:t xml:space="preserve">16.5</w:t>
            </w:r>
            <w:r>
              <w:t xml:space="preserve"> </w:t>
            </w:r>
            <w:r>
              <w:t xml:space="preserve">separates vitamin D genetic non-response from the safety list; the biology overlaps with the supplement low-responder figure without being identical (GC and CYP2R1 act by either route, DHCR7 governs skin substrate).</w:t>
            </w:r>
            <w:r>
              <w:t xml:space="preserve"> </w:t>
            </w:r>
            <w:r>
              <w:rPr>
                <w:b/>
                <w:bCs/>
              </w:rPr>
              <w:t xml:space="preserve">16.6</w:t>
            </w:r>
            <w:r>
              <w:t xml:space="preserve"> </w:t>
            </w:r>
            <w:r>
              <w:t xml:space="preserve">adds the intact-skin rule, absent from every Enyrgy document until now: our own approved research says vitamin D supports wound repair, so a reader who owns a UVB platform can conclude the light should go on the wound, and nothing published said otherwise.</w:t>
            </w:r>
            <w:r>
              <w:t xml:space="preserve"> </w:t>
            </w:r>
            <w:r>
              <w:rPr>
                <w:b/>
                <w:bCs/>
              </w:rPr>
              <w:t xml:space="preserve">16.7</w:t>
            </w:r>
            <w:r>
              <w:t xml:space="preserve"> </w:t>
            </w:r>
            <w:r>
              <w:t xml:space="preserve">records the removal of the Heart/Pacemaker line (Scott’s decision, Aug 24) after research found no dermatological source supporting it; the 2019 AAD-NPF guidelines list neither implanted cardiac devices nor anything like them, and warnings of that shape trace to tanning-cabinet concerns about electromagnetic interference from ballasts and motors rather than from UV. Three constraints written in alongside: removal is not clearance, never volunteer it, never tell a customer holding the earlier printing that their manual is wrong.</w:t>
            </w:r>
            <w:r>
              <w:t xml:space="preserve"> </w:t>
            </w:r>
            <w:r>
              <w:rPr>
                <w:b/>
                <w:bCs/>
              </w:rPr>
              <w:t xml:space="preserve">The User Manual was revised to match</w:t>
            </w:r>
            <w:r>
              <w:t xml:space="preserve"> </w:t>
            </w:r>
            <w:r>
              <w:t xml:space="preserve">(EPP correction, pacemaker line removed,</w:t>
            </w:r>
            <w:r>
              <w:t xml:space="preserve"> </w:t>
            </w:r>
            <w:r>
              <w:rPr>
                <w:rStyle w:val="VerbatimChar"/>
              </w:rPr>
              <w:t xml:space="preserve">Use on Intact Skin Only</w:t>
            </w:r>
            <w:r>
              <w:t xml:space="preserve"> </w:t>
            </w:r>
            <w:r>
              <w:t xml:space="preserve">subsection added) and saved by Scott as</w:t>
            </w:r>
            <w:r>
              <w:t xml:space="preserve"> </w:t>
            </w:r>
            <w:r>
              <w:rPr>
                <w:rStyle w:val="VerbatimChar"/>
              </w:rPr>
              <w:t xml:space="preserve">Enyrgy Precision Wellness Platform User Manual v2.docx</w:t>
            </w:r>
            <w:r>
              <w:t xml:space="preserve"> </w:t>
            </w:r>
            <w:r>
              <w:t xml:space="preserve">in OneDrive. Units in the field carry the previous printing.</w:t>
            </w:r>
            <w:r>
              <w:t xml:space="preserve"> </w:t>
            </w:r>
            <w:r>
              <w:rPr>
                <w:b/>
                <w:bCs/>
              </w:rPr>
              <w:t xml:space="preserve">Brand Style Guide Section 08</w:t>
            </w:r>
            <w:r>
              <w:t xml:space="preserve"> </w:t>
            </w:r>
            <w:r>
              <w:t xml:space="preserve">now carries the same list plus the Intact Skin Notice; aligning it narrowed two consumer warnings, family history of skin cancer and breastfeeding, both recorded there as open. Pointers added at the KB header, Section 4 Safety and Section 11.</w:t>
            </w:r>
            <w:r>
              <w:t xml:space="preserve"> </w:t>
            </w:r>
            <w:r>
              <w:rPr>
                <w:b/>
                <w:bCs/>
              </w:rPr>
              <w:t xml:space="preserve">This section is NOT in the live Company Skill yet and the live agents cannot see it. Re-sync required.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at repo commit</w:t>
            </w:r>
            <w:r>
              <w:rPr>
                <w:b/>
                <w:bCs/>
              </w:rPr>
              <w:t xml:space="preserve"> </w:t>
            </w:r>
            <w:r>
              <w:rPr>
                <w:rStyle w:val="VerbatimChar"/>
                <w:b/>
                <w:bCs/>
              </w:rPr>
              <w:t xml:space="preserve">42090226</w:t>
            </w:r>
            <w:r>
              <w:rPr>
                <w:b/>
                <w:bCs/>
              </w:rPr>
              <w:t xml:space="preserve">. DRIFTED SINCE:</w:t>
            </w:r>
            <w:r>
              <w:t xml:space="preserve"> </w:t>
            </w:r>
            <w:r>
              <w:t xml:space="preserve">KB Section 11 changed on Aug 4, removing the sentence</w:t>
            </w:r>
            <w:r>
              <w:t xml:space="preserve"> </w:t>
            </w:r>
            <w:r>
              <w:t xml:space="preserve">“Review all client-facing content against the January 2026 FDA Guidelines for Wellness Products before use.”</w:t>
            </w:r>
            <w:r>
              <w:t xml:space="preserve"> </w:t>
            </w:r>
            <w:r>
              <w:t xml:space="preserve">Removed on Scott’s decision because it instructed a check no agent could perform, against a guidance whose own scope test (decision-tree question A3, radiation exposure) appears to exclude UV-emitting devices. See TODO 4f.</w:t>
            </w:r>
            <w:r>
              <w:t xml:space="preserve"> </w:t>
            </w:r>
            <w:r>
              <w:rPr>
                <w:b/>
                <w:bCs/>
              </w:rPr>
              <w:t xml:space="preserve">One-line edit to re-sync: delete that sentence from Section 11 in Skill Studio.</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16, Aug 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2026-08-24T15:15:21Z</dcterms:created>
  <dcterms:modified xsi:type="dcterms:W3CDTF">2026-08-24T15:15:21Z</dcterms:modified>
</cp:coreProperties>
</file>

<file path=docProps/custom.xml><?xml version="1.0" encoding="utf-8"?>
<Properties xmlns="http://schemas.openxmlformats.org/officeDocument/2006/custom-properties" xmlns:vt="http://schemas.openxmlformats.org/officeDocument/2006/docPropsVTypes"/>
</file>