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3.9.4</w:t>
      </w:r>
    </w:p>
    <w:p>
      <w:pPr>
        <w:pStyle w:val="BodyText"/>
      </w:pPr>
      <w:r>
        <w:rPr>
          <w:b/>
          <w:bCs/>
        </w:rPr>
        <w:t xml:space="preserve">Consumer Unit $2,995 · Commercial Unit $8,950 · 600+ Users · 25,000+ Treatments</w:t>
      </w:r>
    </w:p>
    <w:p>
      <w:pPr>
        <w:pStyle w:val="BodyText"/>
      </w:pPr>
      <w:r>
        <w:rPr>
          <w:b/>
          <w:bCs/>
        </w:rPr>
        <w:t xml:space="preserve">v3.9.4 (August 4, 2026) changes:</w:t>
      </w:r>
      <w:r>
        <w:t xml:space="preserve"> </w:t>
      </w:r>
      <w:r>
        <w:rPr>
          <w:rStyle w:val="VerbatimChar"/>
        </w:rPr>
        <w:t xml:space="preserve">no_route</w:t>
      </w:r>
      <w:r>
        <w:t xml:space="preserve"> </w:t>
      </w:r>
      <w:r>
        <w:t xml:space="preserve">added to the tag taxonomy (Section 9); WF-01’s guard documented (Section 12); WF-30 to WF-35 added to the workflow register;</w:t>
      </w:r>
      <w:r>
        <w:t xml:space="preserve"> </w:t>
      </w:r>
      <w:r>
        <w:t xml:space="preserve">“600+ Customers”</w:t>
      </w:r>
      <w:r>
        <w:t xml:space="preserve"> </w:t>
      </w:r>
      <w:r>
        <w:t xml:space="preserve">corrected to</w:t>
      </w:r>
      <w:r>
        <w:t xml:space="preserve"> </w:t>
      </w:r>
      <w:r>
        <w:t xml:space="preserve">“600+ Users”</w:t>
      </w:r>
      <w:r>
        <w:t xml:space="preserve"> </w:t>
      </w:r>
      <w:r>
        <w:t xml:space="preserve">here and in Section 1, since a home unit supports up to six users and the two are not interchangeable.</w:t>
      </w:r>
      <w:r>
        <w:t xml:space="preserve"> </w:t>
      </w:r>
      <w:r>
        <w:rPr>
          <w:b/>
          <w:bCs/>
        </w:rPr>
        <w:t xml:space="preserve">Live campaign copy is no longer documented here.</w:t>
      </w:r>
      <w:r>
        <w:t xml:space="preserve"> </w:t>
      </w:r>
      <w:r>
        <w:t xml:space="preserve">It lives in</w:t>
      </w:r>
      <w:r>
        <w:t xml:space="preserve"> </w:t>
      </w:r>
      <w:r>
        <w:rPr>
          <w:rStyle w:val="VerbatimChar"/>
        </w:rPr>
        <w:t xml:space="preserve">campaigns/</w:t>
      </w:r>
      <w:r>
        <w:t xml:space="preserve">, one file per workflow, captured from GHL and version-controlled.</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28, 2026 · Version 3.9.5</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 Open platform bug: a run that dies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(it was auto-flipping to</w:t>
      </w:r>
      <w:r>
        <w:t xml:space="preserve"> </w:t>
      </w:r>
      <w:r>
        <w:rPr>
          <w:rStyle w:val="VerbatimChar"/>
        </w:rPr>
        <w:t xml:space="preserve">done</w:t>
      </w:r>
      <w:r>
        <w:t xml:space="preserve"> </w:t>
      </w:r>
      <w:r>
        <w:t xml:space="preserve">with no work, masking the item).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6"/>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6"/>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and Aug 4).</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2026-08-05T04:15:19Z</dcterms:created>
  <dcterms:modified xsi:type="dcterms:W3CDTF">2026-08-05T04:15:19Z</dcterms:modified>
</cp:coreProperties>
</file>

<file path=docProps/custom.xml><?xml version="1.0" encoding="utf-8"?>
<Properties xmlns="http://schemas.openxmlformats.org/officeDocument/2006/custom-properties" xmlns:vt="http://schemas.openxmlformats.org/officeDocument/2006/docPropsVTypes"/>
</file>