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(Session 10) + 57 current investors (Session 16)</w:t>
            </w:r>
          </w:p>
        </w:tc>
      </w:tr>
      <w:tr>
        <w:tc>
          <w:tcPr/>
          <w:p>
            <w:pPr>
              <w:pStyle w:val="Compact"/>
            </w:pPr>
            <w:r>
              <w:t xml:space="preserve">Campaign Copy Backup</w:t>
            </w:r>
          </w:p>
        </w:tc>
        <w:tc>
          <w:tcPr/>
          <w:p>
            <w:pPr>
              <w:pStyle w:val="Compact"/>
            </w:pPr>
            <w:r>
              <w:rPr>
                <w:b/>
                <w:bCs/>
              </w:rPr>
              <w:t xml:space="preserve">COMPLETE (Session 16, Aug 3).</w:t>
            </w:r>
            <w:r>
              <w:t xml:space="preserve"> </w:t>
            </w:r>
            <w:r>
              <w:t xml:space="preserve">All 19 workflows in</w:t>
            </w:r>
            <w:r>
              <w:t xml:space="preserve"> </w:t>
            </w:r>
            <w:r>
              <w:rPr>
                <w:rStyle w:val="VerbatimChar"/>
              </w:rPr>
              <w:t xml:space="preserve">campaigns/</w:t>
            </w:r>
            <w:r>
              <w:t xml:space="preserve">, 94 touches, 83 corrections applied. Every live email and SMS is version-controlled as .md + .docx with a per-workflow change log. GHL stays the source of truth: change GHL first, then the file.</w:t>
            </w:r>
          </w:p>
        </w:tc>
      </w:tr>
      <w:tr>
        <w:tc>
          <w:tcPr/>
          <w:p>
            <w:pPr>
              <w:pStyle w:val="Compact"/>
            </w:pPr>
            <w:r>
              <w:t xml:space="preserve">Inbound Reply Visibility</w:t>
            </w:r>
          </w:p>
        </w:tc>
        <w:tc>
          <w:tcPr/>
          <w:p>
            <w:pPr>
              <w:pStyle w:val="Compact"/>
            </w:pPr>
            <w:r>
              <w:rPr>
                <w:b/>
                <w:bCs/>
              </w:rPr>
              <w:t xml:space="preserve">RESOLVED (Session 16, Aug 4).</w:t>
            </w:r>
            <w:r>
              <w:t xml:space="preserve"> </w:t>
            </w:r>
            <w:r>
              <w:t xml:space="preserve">WF-35 Customer Replied Notification live and fully verified. GHL’s built-in notification carries no message text and its reply path reaches nobody. Conversation Notification rows 1 and 3 moved from Email to In-App.</w:t>
            </w:r>
          </w:p>
        </w:tc>
      </w:tr>
      <w:tr>
        <w:tc>
          <w:tcPr/>
          <w:p>
            <w:pPr>
              <w:pStyle w:val="Compact"/>
            </w:pPr>
            <w:r>
              <w:t xml:space="preserve">WF-01 Inbound Contact Leak</w:t>
            </w:r>
          </w:p>
        </w:tc>
        <w:tc>
          <w:tcPr/>
          <w:p>
            <w:pPr>
              <w:pStyle w:val="Compact"/>
            </w:pPr>
            <w:r>
              <w:rPr>
                <w:b/>
                <w:bCs/>
              </w:rPr>
              <w:t xml:space="preserve">FIXED (Session 16, Aug 4).</w:t>
            </w:r>
            <w:r>
              <w:t xml:space="preserve"> </w:t>
            </w:r>
            <w:r>
              <w:t xml:space="preserve">Inbound mail to mg.enyrgy.com from an unrecognised address created a contact that WF-01 routed to Default Consumer and tagged</w:t>
            </w:r>
            <w:r>
              <w:t xml:space="preserve"> </w:t>
            </w:r>
            <w:r>
              <w:rPr>
                <w:rStyle w:val="VerbatimChar"/>
              </w:rPr>
              <w:t xml:space="preserve">type_consumer</w:t>
            </w:r>
            <w:r>
              <w:t xml:space="preserve">, enrolling it in the Consumer Drip. Guard now excludes</w:t>
            </w:r>
            <w:r>
              <w:t xml:space="preserve"> </w:t>
            </w:r>
            <w:r>
              <w:rPr>
                <w:rStyle w:val="VerbatimChar"/>
              </w:rPr>
              <w:t xml:space="preserve">@enyrgy.com</w:t>
            </w:r>
            <w:r>
              <w:t xml:space="preserve"> </w:t>
            </w:r>
            <w:r>
              <w:t xml:space="preserve">and the new</w:t>
            </w:r>
            <w:r>
              <w:t xml:space="preserve"> </w:t>
            </w:r>
            <w:r>
              <w:rPr>
                <w:rStyle w:val="VerbatimChar"/>
              </w:rPr>
              <w:t xml:space="preserve">no_route</w:t>
            </w:r>
            <w:r>
              <w:t xml:space="preserve"> </w:t>
            </w:r>
            <w:r>
              <w:t xml:space="preserve">tag. Swept: only</w:t>
            </w:r>
            <w:r>
              <w:t xml:space="preserve"> </w:t>
            </w:r>
            <w:r>
              <w:rPr>
                <w:rStyle w:val="VerbatimChar"/>
              </w:rPr>
              <w:t xml:space="preserve">scott@enyrgy.com</w:t>
            </w:r>
            <w:r>
              <w:t xml:space="preserve"> </w:t>
            </w:r>
            <w:r>
              <w:t xml:space="preserve">was affected, deleted.</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FlexOffers Affiliate</w:t>
            </w:r>
          </w:p>
        </w:tc>
        <w:tc>
          <w:tcPr/>
          <w:p>
            <w:pPr>
              <w:pStyle w:val="Compact"/>
            </w:pPr>
            <w:r>
              <w:t xml:space="preserve">Publisher migration COMPLETE (Aug 4).</w:t>
            </w:r>
            <w:r>
              <w:t xml:space="preserve"> </w:t>
            </w:r>
            <w:r>
              <w:rPr>
                <w:b/>
                <w:bCs/>
              </w:rPr>
              <w:t xml:space="preserve">URGENT: disable creative #6673701 and deactivate old program #247334</w:t>
            </w:r>
            <w:r>
              <w:t xml:space="preserve"> </w:t>
            </w:r>
            <w:r>
              <w:t xml:space="preserve">before YourTango begins promoting Wed Aug 5. A publisher already tried to grab the old creative, which has no S2S tracking.</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Current investor import</w:t>
            </w:r>
          </w:p>
        </w:tc>
        <w:tc>
          <w:tcPr/>
          <w:p>
            <w:pPr>
              <w:pStyle w:val="Compact"/>
            </w:pPr>
            <w:r>
              <w:t xml:space="preserve">COMPLETE (Session 16, July 31)</w:t>
            </w:r>
          </w:p>
        </w:tc>
        <w:tc>
          <w:tcPr/>
          <w:p>
            <w:pPr>
              <w:pStyle w:val="Compact"/>
            </w:pPr>
            <w:r>
              <w:t xml:space="preserve">57 imported, $10,373,000 funded. Tagged seg_investor_current + drip_bypass + source_investor_import;</w:t>
            </w:r>
            <w:r>
              <w:t xml:space="preserve"> </w:t>
            </w:r>
            <w:r>
              <w:rPr>
                <w:b/>
                <w:bCs/>
              </w:rPr>
              <w:t xml:space="preserve">never type_investor</w:t>
            </w:r>
            <w:r>
              <w:t xml:space="preserve"> </w:t>
            </w:r>
            <w:r>
              <w:t xml:space="preserve">(triggers the cold 8-touch Investor Drip). WF-01</w:t>
            </w:r>
            <w:r>
              <w:t xml:space="preserve"> </w:t>
            </w:r>
            <w:r>
              <w:rPr>
                <w:b/>
                <w:bCs/>
              </w:rPr>
              <w:t xml:space="preserve">and WF-31</w:t>
            </w:r>
            <w:r>
              <w:t xml:space="preserve"> </w:t>
            </w:r>
            <w:r>
              <w:t xml:space="preserve">unpublished during import - WF-31 FlexOffers First Touch is a SECOND Contact Created trigger that post-dates the Session 10 audit. 46 created + 10 updated (dual-role legacy customers); 1 row failed silently and was added by hand. Smart list</w:t>
            </w:r>
            <w:r>
              <w:t xml:space="preserve"> </w:t>
            </w:r>
            <w:r>
              <w:t xml:space="preserve">“Investors - Current”</w:t>
            </w:r>
            <w:r>
              <w:t xml:space="preserve">.</w:t>
            </w:r>
          </w:p>
        </w:tc>
      </w:tr>
      <w:tr>
        <w:tc>
          <w:tcPr/>
          <w:p>
            <w:pPr>
              <w:pStyle w:val="Compact"/>
            </w:pPr>
            <w:r>
              <w:t xml:space="preserve">Investor Spreadsheet (prospects)</w:t>
            </w:r>
          </w:p>
        </w:tc>
        <w:tc>
          <w:tcPr/>
          <w:p>
            <w:pPr>
              <w:pStyle w:val="Compact"/>
            </w:pPr>
            <w:r>
              <w:t xml:space="preserve">In Progress</w:t>
            </w:r>
          </w:p>
        </w:tc>
        <w:tc>
          <w:tcPr/>
          <w:p>
            <w:pPr>
              <w:pStyle w:val="Compact"/>
            </w:pPr>
            <w:r>
              <w:t xml:space="preserve">100+ prospect contacts being entered. Separate from the 57 current investors above; keep prospects out of seg_investor_current.</w:t>
            </w:r>
          </w:p>
        </w:tc>
      </w:tr>
      <w:tr>
        <w:tc>
          <w:tcPr/>
          <w:p>
            <w:pPr>
              <w:pStyle w:val="Compact"/>
            </w:pPr>
            <w:r>
              <w:t xml:space="preserve">Import Process</w:t>
            </w:r>
          </w:p>
        </w:tc>
        <w:tc>
          <w:tcPr/>
          <w:p>
            <w:pPr>
              <w:pStyle w:val="Compact"/>
            </w:pPr>
            <w:r>
              <w:t xml:space="preserve">Proven (Session 16)</w:t>
            </w:r>
          </w:p>
        </w:tc>
        <w:tc>
          <w:tcPr/>
          <w:p>
            <w:pPr>
              <w:pStyle w:val="Compact"/>
            </w:pPr>
            <w:r>
              <w:t xml:space="preserve">GHL’s 4-step wizard (Start/Upload/Map/Verify). Phone is a valid update-match key with no email-only override, so blank duplicate phones before importing. Verify-step preferences (Add to workflow / Add tags / Create a Smartlist) all OFF.</w:t>
            </w:r>
            <w:r>
              <w:t xml:space="preserve"> </w:t>
            </w:r>
            <w:r>
              <w:rPr>
                <w:b/>
                <w:bCs/>
              </w:rPr>
              <w:t xml:space="preserve">Verify by smart-list count, not the wizard - a failed row raises no error.</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Sent to HighLevel (Jul 28)</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SENT; awaiting HighLevel resolution.</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n/a</w:t>
            </w:r>
          </w:p>
        </w:tc>
        <w:tc>
          <w:tcPr/>
          <w:p>
            <w:pPr>
              <w:pStyle w:val="Compact"/>
            </w:pPr>
            <w:r>
              <w:t xml:space="preserve">NOT A BUG (Jul 28)</w:t>
            </w:r>
          </w:p>
        </w:tc>
        <w:tc>
          <w:tcPr/>
          <w:p>
            <w:pPr>
              <w:pStyle w:val="Compact"/>
            </w:pPr>
            <w:r>
              <w:t xml:space="preserve">Investigated the recovery code: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the only</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claim was another COO confabulation, not a code defect. No fix needed.</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r>
        <w:tc>
          <w:tcPr/>
          <w:p>
            <w:pPr>
              <w:pStyle w:val="Compact"/>
            </w:pPr>
            <w:r>
              <w:t xml:space="preserve">Inbound email created consumer leads</w:t>
            </w:r>
          </w:p>
        </w:tc>
        <w:tc>
          <w:tcPr/>
          <w:p>
            <w:pPr>
              <w:pStyle w:val="Compact"/>
            </w:pPr>
            <w:r>
              <w:t xml:space="preserve">High</w:t>
            </w:r>
          </w:p>
        </w:tc>
        <w:tc>
          <w:tcPr/>
          <w:p>
            <w:pPr>
              <w:pStyle w:val="Compact"/>
            </w:pPr>
            <w:r>
              <w:t xml:space="preserve">RESOLVED (Aug 4)</w:t>
            </w:r>
          </w:p>
        </w:tc>
        <w:tc>
          <w:tcPr/>
          <w:p>
            <w:pPr>
              <w:pStyle w:val="Compact"/>
            </w:pPr>
            <w:r>
              <w:t xml:space="preserve">Any inbound mail to mg.enyrgy.com from an unrecognised address created a contact; WF-01’s</w:t>
            </w:r>
            <w:r>
              <w:t xml:space="preserve"> </w:t>
            </w:r>
            <w:r>
              <w:rPr>
                <w:rStyle w:val="VerbatimChar"/>
              </w:rPr>
              <w:t xml:space="preserve">Default Consumer</w:t>
            </w:r>
            <w:r>
              <w:t xml:space="preserve"> </w:t>
            </w:r>
            <w:r>
              <w:t xml:space="preserve">fallthrough tagged it</w:t>
            </w:r>
            <w:r>
              <w:t xml:space="preserve"> </w:t>
            </w:r>
            <w:r>
              <w:rPr>
                <w:rStyle w:val="VerbatimChar"/>
              </w:rPr>
              <w:t xml:space="preserve">type_consumer</w:t>
            </w:r>
            <w:r>
              <w:t xml:space="preserve"> </w:t>
            </w:r>
            <w:r>
              <w:t xml:space="preserve">and enrolled it in the Consumer Drip. Auto-replies, bounces, vendor mail and spam all qualified, and nothing errored. Guard extended to exclude</w:t>
            </w:r>
            <w:r>
              <w:t xml:space="preserve"> </w:t>
            </w:r>
            <w:r>
              <w:rPr>
                <w:rStyle w:val="VerbatimChar"/>
              </w:rPr>
              <w:t xml:space="preserve">@enyrgy.com</w:t>
            </w:r>
            <w:r>
              <w:t xml:space="preserve"> </w:t>
            </w:r>
            <w:r>
              <w:t xml:space="preserve">and</w:t>
            </w:r>
            <w:r>
              <w:t xml:space="preserve"> </w:t>
            </w:r>
            <w:r>
              <w:rPr>
                <w:rStyle w:val="VerbatimChar"/>
              </w:rPr>
              <w:t xml:space="preserve">no_route</w:t>
            </w:r>
            <w:r>
              <w:t xml:space="preserve">. Verified phone-only leads still route.</w:t>
            </w:r>
          </w:p>
        </w:tc>
      </w:tr>
      <w:tr>
        <w:tc>
          <w:tcPr/>
          <w:p>
            <w:pPr>
              <w:pStyle w:val="Compact"/>
            </w:pPr>
            <w:r>
              <w:t xml:space="preserve">Built-in reply notification reaches nobody</w:t>
            </w:r>
          </w:p>
        </w:tc>
        <w:tc>
          <w:tcPr/>
          <w:p>
            <w:pPr>
              <w:pStyle w:val="Compact"/>
            </w:pPr>
            <w:r>
              <w:t xml:space="preserve">Medium</w:t>
            </w:r>
          </w:p>
        </w:tc>
        <w:tc>
          <w:tcPr/>
          <w:p>
            <w:pPr>
              <w:pStyle w:val="Compact"/>
            </w:pPr>
            <w:r>
              <w:t xml:space="preserve">MITIGATED (Aug 4)</w:t>
            </w:r>
          </w:p>
        </w:tc>
        <w:tc>
          <w:tcPr/>
          <w:p>
            <w:pPr>
              <w:pStyle w:val="Compact"/>
            </w:pPr>
            <w:r>
              <w:t xml:space="preserve">GHL sends it as though from Scott, so replying addresses</w:t>
            </w:r>
            <w:r>
              <w:t xml:space="preserve"> </w:t>
            </w:r>
            <w:r>
              <w:rPr>
                <w:rStyle w:val="VerbatimChar"/>
              </w:rPr>
              <w:t xml:space="preserve">scott@mg.enyrgy.com</w:t>
            </w:r>
            <w:r>
              <w:t xml:space="preserve">, his own sending-subdomain address. Mail disappears with no error. WF-35’s notification states this explicitly in its body. Cannot be fixed at source; the warning is the mitigation.</w:t>
            </w:r>
          </w:p>
        </w:tc>
      </w:tr>
      <w:tr>
        <w:tc>
          <w:tcPr/>
          <w:p>
            <w:pPr>
              <w:pStyle w:val="Compact"/>
            </w:pPr>
            <w:r>
              <w:t xml:space="preserve">Unsubscribe link on internal notifications</w:t>
            </w:r>
          </w:p>
        </w:tc>
        <w:tc>
          <w:tcPr/>
          <w:p>
            <w:pPr>
              <w:pStyle w:val="Compact"/>
            </w:pPr>
            <w:r>
              <w:t xml:space="preserve">Low</w:t>
            </w:r>
          </w:p>
        </w:tc>
        <w:tc>
          <w:tcPr/>
          <w:p>
            <w:pPr>
              <w:pStyle w:val="Compact"/>
            </w:pPr>
            <w:r>
              <w:t xml:space="preserve">OPEN</w:t>
            </w:r>
          </w:p>
        </w:tc>
        <w:tc>
          <w:tcPr/>
          <w:p>
            <w:pPr>
              <w:pStyle w:val="Compact"/>
            </w:pPr>
            <w:r>
              <w:t xml:space="preserve">GHL appends one to workflow internal notifications, including those going to staff. If clicked, the recipient may be marked unsubscribed and reply notifications stop silently, presenting as the problem WF-35 was built to fix. Do not click. Suppression at the location email-footer level unresolved.</w:t>
            </w:r>
          </w:p>
        </w:tc>
      </w:tr>
      <w:tr>
        <w:tc>
          <w:tcPr/>
          <w:p>
            <w:pPr>
              <w:pStyle w:val="Compact"/>
            </w:pPr>
            <w:r>
              <w:rPr>
                <w:rStyle w:val="VerbatimChar"/>
              </w:rPr>
              <w:t xml:space="preserve">{{contact.link}}</w:t>
            </w:r>
            <w:r>
              <w:t xml:space="preserve"> </w:t>
            </w:r>
            <w:r>
              <w:t xml:space="preserve">rejected by the editor</w:t>
            </w:r>
          </w:p>
        </w:tc>
        <w:tc>
          <w:tcPr/>
          <w:p>
            <w:pPr>
              <w:pStyle w:val="Compact"/>
            </w:pPr>
            <w:r>
              <w:t xml:space="preserve">Low</w:t>
            </w:r>
          </w:p>
        </w:tc>
        <w:tc>
          <w:tcPr/>
          <w:p>
            <w:pPr>
              <w:pStyle w:val="Compact"/>
            </w:pPr>
            <w:r>
              <w:t xml:space="preserve">RESOLVED (Aug 4)</w:t>
            </w:r>
          </w:p>
        </w:tc>
        <w:tc>
          <w:tcPr/>
          <w:p>
            <w:pPr>
              <w:pStyle w:val="Compact"/>
            </w:pPr>
            <w:r>
              <w:t xml:space="preserve">The field is valid; WF-02 uses it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validation. Type the line then click away, or use the</w:t>
            </w:r>
            <w:r>
              <w:t xml:space="preserve"> </w:t>
            </w:r>
            <w:r>
              <w:rPr>
                <w:rStyle w:val="VerbatimChar"/>
              </w:rPr>
              <w:t xml:space="preserve">&lt;/&gt;</w:t>
            </w:r>
            <w:r>
              <w:t xml:space="preserve"> </w:t>
            </w:r>
            <w:r>
              <w:t xml:space="preserve">source view.</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2026-08-05T04:15:19Z</dcterms:created>
  <dcterms:modified xsi:type="dcterms:W3CDTF">2026-08-05T04:15:19Z</dcterms:modified>
</cp:coreProperties>
</file>

<file path=docProps/custom.xml><?xml version="1.0" encoding="utf-8"?>
<Properties xmlns="http://schemas.openxmlformats.org/officeDocument/2006/custom-properties" xmlns:vt="http://schemas.openxmlformats.org/officeDocument/2006/docPropsVTypes"/>
</file>