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and commercial, confirmed by Truemed August 2026. The test is who the buyer of record is:</w:t>
      </w:r>
    </w:p>
    <w:p>
      <w:pPr>
        <w:pStyle w:val="Compact"/>
        <w:numPr>
          <w:ilvl w:val="1"/>
          <w:numId w:val="1004"/>
        </w:numPr>
      </w:pPr>
      <w:r>
        <w:rPr>
          <w:b/>
          <w:bCs/>
        </w:rPr>
        <w:t xml:space="preserve">NOT eligible:</w:t>
      </w:r>
      <w:r>
        <w:t xml:space="preserve"> </w:t>
      </w:r>
      <w:r>
        <w:t xml:space="preserve">a facility buying units for its business, and any membership or session fees that include Enyrgy access. Those are business expenses, or a membership, not a personal medical purchase. This is what Truemed ruled out.</w:t>
      </w:r>
    </w:p>
    <w:p>
      <w:pPr>
        <w:pStyle w:val="Compact"/>
        <w:numPr>
          <w:ilvl w:val="1"/>
          <w:numId w:val="1004"/>
        </w:numPr>
      </w:pPr>
      <w:r>
        <w:rPr>
          <w:b/>
          <w:bCs/>
        </w:rPr>
        <w:t xml:space="preserve">ELIGIBLE:</w:t>
      </w:r>
      <w:r>
        <w:t xml:space="preserve"> </w:t>
      </w:r>
      <w:r>
        <w:t xml:space="preserve">an individual buying their own Consumer Unit directly at</w:t>
      </w:r>
      <w:r>
        <w:t xml:space="preserve"> </w:t>
      </w:r>
      <w:r>
        <w:rPr>
          <w:rStyle w:val="VerbatimChar"/>
        </w:rPr>
        <w:t xml:space="preserve">shop.enyrgy.com</w:t>
      </w:r>
      <w:r>
        <w:t xml:space="preserve">,</w:t>
      </w:r>
      <w:r>
        <w:t xml:space="preserve"> </w:t>
      </w:r>
      <w:r>
        <w:rPr>
          <w:b/>
          <w:bCs/>
        </w:rPr>
        <w:t xml:space="preserve">including when they arrive through a facility’s unique referral link</w:t>
      </w:r>
      <w:r>
        <w:t xml:space="preserve">. The facility earns commission on that sale but is not the purchaser; the transaction is consumer to Enyrgy, which makes it the same direct consumer purchase as any other order. A facility may tell its members this.</w:t>
      </w:r>
    </w:p>
    <w:p>
      <w:pPr>
        <w:pStyle w:val="Compact"/>
        <w:numPr>
          <w:ilvl w:val="1"/>
          <w:numId w:val="1004"/>
        </w:numPr>
      </w:pPr>
      <w:r>
        <w:t xml:space="preserve">Never suggest routing a facility’s own purchase through an individual to obtain eligibility. The distinction is whose purchase it is, not which link was used.</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5"/>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5"/>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6"/>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6"/>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6"/>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6"/>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6"/>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6"/>
        </w:numPr>
      </w:pPr>
      <w:r>
        <w:t xml:space="preserve">Efficiency: 2.4x more efficient than sunlight for Vitamin D synthesis; 2 to 4 minutes equals 2 to 4 hours of mid-day sun (about 60x).</w:t>
      </w:r>
    </w:p>
    <w:p>
      <w:pPr>
        <w:pStyle w:val="Compact"/>
        <w:numPr>
          <w:ilvl w:val="0"/>
          <w:numId w:val="1006"/>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6"/>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r>
        <w:t xml:space="preserve"> </w:t>
      </w:r>
      <w:r>
        <w:t xml:space="preserve">-</w:t>
      </w:r>
      <w:r>
        <w:t xml:space="preserve"> </w:t>
      </w:r>
      <w:r>
        <w:rPr>
          <w:b/>
          <w:bCs/>
        </w:rPr>
        <w:t xml:space="preserve">Prevalence, the citable number. This supersedes the previously unsourced</w:t>
      </w:r>
      <w:r>
        <w:rPr>
          <w:b/>
          <w:bCs/>
        </w:rPr>
        <w:t xml:space="preserve"> </w:t>
      </w:r>
      <w:r>
        <w:rPr>
          <w:b/>
          <w:bCs/>
        </w:rPr>
        <w:t xml:space="preserve">“77 percent”</w:t>
      </w:r>
      <w:r>
        <w:rPr>
          <w:b/>
          <w:bCs/>
        </w:rPr>
        <w:t xml:space="preserve"> </w:t>
      </w:r>
      <w:r>
        <w:rPr>
          <w:b/>
          <w:bCs/>
        </w:rPr>
        <w:t xml:space="preserve">figure.</w:t>
      </w:r>
      <w:r>
        <w:t xml:space="preserve"> </w:t>
      </w:r>
      <w:r>
        <w:t xml:space="preserve">In a 2023 pooled analysis of 308 population-based studies across 81 countries and 7.9 million participants aged 1 and over,</w:t>
      </w:r>
      <w:r>
        <w:t xml:space="preserve"> </w:t>
      </w:r>
      <w:r>
        <w:rPr>
          <w:b/>
          <w:bCs/>
        </w:rPr>
        <w:t xml:space="preserve">76.6 percent had serum 25(OH)D below 30 ng/mL</w:t>
      </w:r>
      <w:r>
        <w:t xml:space="preserve"> </w:t>
      </w:r>
      <w:r>
        <w:t xml:space="preserve">(75 nmol/L; 95% CrI 74.0 to 79.1). Also reported: 47.9 percent below 20 ng/mL and 15.7 percent below 12 ng/mL. (Cui A, Zhang T, Xiao P, Fan Z, Wang H, Zhuang Y.</w:t>
      </w:r>
      <w:r>
        <w:t xml:space="preserve"> </w:t>
      </w:r>
      <w:r>
        <w:t xml:space="preserve">“Global and regional prevalence of vitamin D deficiency in population-based studies from 2000 to 2022.”</w:t>
      </w:r>
      <w:r>
        <w:t xml:space="preserve"> </w:t>
      </w:r>
      <w:r>
        <w:rPr>
          <w:i/>
          <w:iCs/>
        </w:rPr>
        <w:t xml:space="preserve">Frontiers in Nutrition</w:t>
      </w:r>
      <w:r>
        <w:t xml:space="preserve"> </w:t>
      </w:r>
      <w:r>
        <w:t xml:space="preserve">2023; PMC10064807, free to read.)</w:t>
      </w:r>
      <w:r>
        <w:t xml:space="preserve"> </w:t>
      </w:r>
      <w:r>
        <w:rPr>
          <w:b/>
          <w:bCs/>
        </w:rPr>
        <w:t xml:space="preserve">Three rules for stating it.</w:t>
      </w:r>
      <w:r>
        <w:t xml:space="preserve"> </w:t>
      </w:r>
      <w:r>
        <w:t xml:space="preserve">(1) Below 30 ng/mL is</w:t>
      </w:r>
      <w:r>
        <w:t xml:space="preserve"> </w:t>
      </w:r>
      <w:r>
        <w:rPr>
          <w:b/>
          <w:bCs/>
        </w:rPr>
        <w:t xml:space="preserve">insufficiency or low vitamin D status</w:t>
      </w:r>
      <w:r>
        <w:t xml:space="preserve">, not universally accepted</w:t>
      </w:r>
      <w:r>
        <w:t xml:space="preserve"> </w:t>
      </w:r>
      <w:r>
        <w:t xml:space="preserve">“deficiency”</w:t>
      </w:r>
      <w:r>
        <w:t xml:space="preserve"> </w:t>
      </w:r>
      <w:r>
        <w:t xml:space="preserve">— never call 76.6 percent a deficiency rate. (2) The population is</w:t>
      </w:r>
      <w:r>
        <w:t xml:space="preserve"> </w:t>
      </w:r>
      <w:r>
        <w:rPr>
          <w:b/>
          <w:bCs/>
        </w:rPr>
        <w:t xml:space="preserve">global and aged 1 and over</w:t>
      </w:r>
      <w:r>
        <w:t xml:space="preserve">, so say</w:t>
      </w:r>
      <w:r>
        <w:t xml:space="preserve"> </w:t>
      </w:r>
      <w:r>
        <w:t xml:space="preserve">“people”</w:t>
      </w:r>
      <w:r>
        <w:t xml:space="preserve">, never</w:t>
      </w:r>
      <w:r>
        <w:t xml:space="preserve"> </w:t>
      </w:r>
      <w:r>
        <w:t xml:space="preserve">“adults”</w:t>
      </w:r>
      <w:r>
        <w:t xml:space="preserve">, never</w:t>
      </w:r>
      <w:r>
        <w:t xml:space="preserve"> </w:t>
      </w:r>
      <w:r>
        <w:t xml:space="preserve">“Americans”</w:t>
      </w:r>
      <w:r>
        <w:t xml:space="preserve">, never</w:t>
      </w:r>
      <w:r>
        <w:t xml:space="preserve"> </w:t>
      </w:r>
      <w:r>
        <w:t xml:space="preserve">“indoor”</w:t>
      </w:r>
      <w:r>
        <w:t xml:space="preserve">. (3) The authors report high heterogeneity between pooled studies; do not present the figure as a precise national rate.</w:t>
      </w:r>
      <w:r>
        <w:t xml:space="preserve"> </w:t>
      </w:r>
      <w:r>
        <w:rPr>
          <w:b/>
          <w:bCs/>
        </w:rPr>
        <w:t xml:space="preserve">Approved short forms:</w:t>
      </w:r>
      <w:r>
        <w:t xml:space="preserve"> </w:t>
      </w:r>
      <w:r>
        <w:t xml:space="preserve">“about three-quarters of people have vitamin D below 30 ng/mL”</w:t>
      </w:r>
      <w:r>
        <w:t xml:space="preserve"> </w:t>
      </w:r>
      <w:r>
        <w:t xml:space="preserve">or</w:t>
      </w:r>
      <w:r>
        <w:t xml:space="preserve"> </w:t>
      </w:r>
      <w:r>
        <w:t xml:space="preserve">“76.6 percent of people worldwide are below 30 ng/mL”</w:t>
      </w:r>
      <w:r>
        <w:t xml:space="preserve">.</w:t>
      </w:r>
      <w:r>
        <w:t xml:space="preserve"> </w:t>
      </w:r>
      <w:r>
        <w:t xml:space="preserve">-</w:t>
      </w:r>
      <w:r>
        <w:t xml:space="preserve"> </w:t>
      </w:r>
      <w:r>
        <w:rPr>
          <w:b/>
          <w:bCs/>
        </w:rPr>
        <w:t xml:space="preserve">Sunny climates do not prevent it (use this for the sun objection):</w:t>
      </w:r>
      <w:r>
        <w:t xml:space="preserve"> </w:t>
      </w:r>
      <w:r>
        <w:t xml:space="preserve">low vitamin D status is a problem even in countries with sun exposure all year round (Palacios C, Gonzalez L.</w:t>
      </w:r>
      <w:r>
        <w:t xml:space="preserve"> </w:t>
      </w:r>
      <w:r>
        <w:t xml:space="preserve">“Is vitamin D deficiency a major global public health problem?”</w:t>
      </w:r>
      <w:r>
        <w:t xml:space="preserve"> </w:t>
      </w:r>
      <w:r>
        <w:rPr>
          <w:i/>
          <w:iCs/>
        </w:rPr>
        <w:t xml:space="preserve">J Steroid Biochem Mol Biol</w:t>
      </w:r>
      <w:r>
        <w:t xml:space="preserve"> </w:t>
      </w:r>
      <w:r>
        <w:t xml:space="preserve">2014; PMC4018438, free to read). The paper’s own Highlights state it verbatim:</w:t>
      </w:r>
      <w:r>
        <w:t xml:space="preserve"> </w:t>
      </w:r>
      <w:r>
        <w:rPr>
          <w:b/>
          <w:bCs/>
        </w:rPr>
        <w:t xml:space="preserve">“Low vitamin D status is a problem even in countries with sun exposure all year round.”</w:t>
      </w:r>
      <w:r>
        <w:t xml:space="preserve"> </w:t>
      </w:r>
      <w:r>
        <w:t xml:space="preserve">Quote that line as written.</w:t>
      </w:r>
      <w:r>
        <w:t xml:space="preserve"> </w:t>
      </w:r>
      <w:r>
        <w:rPr>
          <w:b/>
          <w:bCs/>
        </w:rPr>
        <w:t xml:space="preserve">Three limits.</w:t>
      </w:r>
      <w:r>
        <w:t xml:space="preserve"> </w:t>
      </w:r>
      <w:r>
        <w:t xml:space="preserve">(1) It reports prevalence by region, age group and threshold and gives no single headline figure, so it CANNOT source the 77 percent. (2) It says nothing about UVB devices or phototherapy, so never present it as support for the platform itself, only for the problem. (3) 2014 data: fine for establishing that the phenomenon exists, not for current prevalence.</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7"/>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7"/>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7"/>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8"/>
        </w:numPr>
      </w:pPr>
      <w:r>
        <w:t xml:space="preserve">Every human body was meant to thrive on sunlight. We just made it safe, personalized and controllable. (Standard Description, do not alter.)</w:t>
      </w:r>
    </w:p>
    <w:p>
      <w:pPr>
        <w:pStyle w:val="Compact"/>
        <w:numPr>
          <w:ilvl w:val="0"/>
          <w:numId w:val="1008"/>
        </w:numPr>
      </w:pPr>
      <w:r>
        <w:t xml:space="preserve">Get your body responding to sunlight the way it was meant to.</w:t>
      </w:r>
    </w:p>
    <w:p>
      <w:pPr>
        <w:pStyle w:val="Compact"/>
        <w:numPr>
          <w:ilvl w:val="0"/>
          <w:numId w:val="1008"/>
        </w:numPr>
      </w:pPr>
      <w:r>
        <w:t xml:space="preserve">Three biological pathways, switched on in 2 to 4 minutes.</w:t>
      </w:r>
    </w:p>
    <w:p>
      <w:pPr>
        <w:pStyle w:val="Compact"/>
        <w:numPr>
          <w:ilvl w:val="0"/>
          <w:numId w:val="1008"/>
        </w:numPr>
      </w:pPr>
      <w:r>
        <w:t xml:space="preserve">25,000+ sessions with zero adverse events.</w:t>
      </w:r>
    </w:p>
    <w:p>
      <w:pPr>
        <w:pStyle w:val="Compact"/>
        <w:numPr>
          <w:ilvl w:val="0"/>
          <w:numId w:val="1008"/>
        </w:numPr>
      </w:pPr>
      <w:r>
        <w:t xml:space="preserve">In our clinical study, 100 percent of participants reached optimal Vitamin D levels.</w:t>
      </w:r>
    </w:p>
    <w:p>
      <w:pPr>
        <w:pStyle w:val="Compact"/>
        <w:numPr>
          <w:ilvl w:val="0"/>
          <w:numId w:val="1008"/>
        </w:numPr>
      </w:pPr>
      <w:r>
        <w:t xml:space="preserve">2.4x more efficient than sunlight for Vitamin D synthesis.</w:t>
      </w:r>
    </w:p>
    <w:p>
      <w:pPr>
        <w:pStyle w:val="Compact"/>
        <w:numPr>
          <w:ilvl w:val="0"/>
          <w:numId w:val="1008"/>
        </w:numPr>
      </w:pPr>
      <w:r>
        <w:t xml:space="preserve">The app determines your skin type, sets your dose, and ends the session for you.</w:t>
      </w:r>
    </w:p>
    <w:p>
      <w:pPr>
        <w:pStyle w:val="Compact"/>
        <w:numPr>
          <w:ilvl w:val="0"/>
          <w:numId w:val="1008"/>
        </w:numPr>
      </w:pPr>
      <w:r>
        <w:t xml:space="preserve">Under 1 percent of people send it back. The industry lives at 5 to 10 percent.</w:t>
      </w:r>
    </w:p>
    <w:p>
      <w:pPr>
        <w:pStyle w:val="Compact"/>
        <w:numPr>
          <w:ilvl w:val="0"/>
          <w:numId w:val="1008"/>
        </w:numPr>
      </w:pPr>
      <w:r>
        <w:t xml:space="preserve">Built in Phoenix, Arizona. Made in USA.</w:t>
      </w:r>
    </w:p>
    <w:p>
      <w:pPr>
        <w:pStyle w:val="Compact"/>
        <w:numPr>
          <w:ilvl w:val="0"/>
          <w:numId w:val="1008"/>
        </w:numPr>
      </w:pPr>
      <w:r>
        <w:t xml:space="preserve">600+ users, 5 countries, zero paid ads.</w:t>
      </w:r>
    </w:p>
    <w:p>
      <w:pPr>
        <w:pStyle w:val="Compact"/>
        <w:numPr>
          <w:ilvl w:val="0"/>
          <w:numId w:val="1008"/>
        </w:numPr>
      </w:pPr>
      <w:r>
        <w:t xml:space="preserve">Lumanova picked our technology to launch their own light, Luma D Light.</w:t>
      </w:r>
    </w:p>
    <w:p>
      <w:pPr>
        <w:pStyle w:val="Compact"/>
        <w:numPr>
          <w:ilvl w:val="0"/>
          <w:numId w:val="1008"/>
        </w:numPr>
      </w:pPr>
      <w:r>
        <w:t xml:space="preserve">$2,995 to own it at home. $8,950 for the commercial unit.</w:t>
      </w:r>
    </w:p>
    <w:p>
      <w:pPr>
        <w:pStyle w:val="Compact"/>
        <w:numPr>
          <w:ilvl w:val="0"/>
          <w:numId w:val="1008"/>
        </w:numPr>
      </w:pPr>
      <w:r>
        <w:t xml:space="preserve">That is $2.30 a session at 5 a week over 5 years.</w:t>
      </w:r>
    </w:p>
    <w:p>
      <w:pPr>
        <w:pStyle w:val="Compact"/>
        <w:numPr>
          <w:ilvl w:val="0"/>
          <w:numId w:val="1008"/>
        </w:numPr>
      </w:pPr>
      <w:r>
        <w:t xml:space="preserve">90 percent of our customers run red light too. Different jobs, same routine.</w:t>
      </w:r>
    </w:p>
    <w:p>
      <w:pPr>
        <w:pStyle w:val="Compact"/>
        <w:numPr>
          <w:ilvl w:val="0"/>
          <w:numId w:val="1008"/>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9"/>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9"/>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9"/>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9"/>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9"/>
        </w:numPr>
      </w:pPr>
      <w:r>
        <w:t xml:space="preserve">We get plenty of sun here. Fair assumption, and testing settles it faster than arguing. Indoor work, sunscreen and window glass all block UVB at any latitude. A 2014 global review in the Journal of Steroid Biochemistry and Molecular Biology concluded that low vitamin D status is a problem even in countries with sun exposure all year round.</w:t>
      </w:r>
    </w:p>
    <w:p>
      <w:pPr>
        <w:pStyle w:val="Compact"/>
        <w:numPr>
          <w:ilvl w:val="0"/>
          <w:numId w:val="1009"/>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10"/>
        </w:numPr>
      </w:pPr>
      <w:r>
        <w:t xml:space="preserve">We already have red light. Ninety percent of our customers use both. They do different biological jobs, so this sits alongside what you already offer instead of replacing it.</w:t>
      </w:r>
    </w:p>
    <w:p>
      <w:pPr>
        <w:pStyle w:val="Compact"/>
        <w:numPr>
          <w:ilvl w:val="0"/>
          <w:numId w:val="1010"/>
        </w:numPr>
      </w:pPr>
      <w:r>
        <w:t xml:space="preserve">Would clients pay? Vitamin D runs low in 77 percent of adults, so the demand is already in your book. Operators are charging $49 to $125 a month for it, depending on their market and clientele.</w:t>
      </w:r>
    </w:p>
    <w:p>
      <w:pPr>
        <w:pStyle w:val="Compact"/>
        <w:numPr>
          <w:ilvl w:val="0"/>
          <w:numId w:val="1010"/>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1"/>
        </w:numPr>
      </w:pPr>
      <w:r>
        <w:t xml:space="preserve">Where is the equity upside? There is a conversion option at a 20 percent discount to an independent SEC valuation.</w:t>
      </w:r>
    </w:p>
    <w:p>
      <w:pPr>
        <w:pStyle w:val="Compact"/>
        <w:numPr>
          <w:ilvl w:val="0"/>
          <w:numId w:val="1011"/>
        </w:numPr>
      </w:pPr>
      <w:r>
        <w:t xml:space="preserve">Is this a crowded market? It looks crowded until you line up the mechanisms. Nobody else delivers all three pathways. We are a category of one.</w:t>
      </w:r>
    </w:p>
    <w:p>
      <w:pPr>
        <w:pStyle w:val="Compact"/>
        <w:numPr>
          <w:ilvl w:val="0"/>
          <w:numId w:val="1011"/>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2"/>
        </w:numPr>
      </w:pPr>
      <w:r>
        <w:t xml:space="preserve">Accent: Sunrise Orange #E64C38 only. No violet, purple, or amber.</w:t>
      </w:r>
    </w:p>
    <w:p>
      <w:pPr>
        <w:pStyle w:val="Compact"/>
        <w:numPr>
          <w:ilvl w:val="0"/>
          <w:numId w:val="1012"/>
        </w:numPr>
      </w:pPr>
      <w:r>
        <w:t xml:space="preserve">Typography: Montserrat, all weights.</w:t>
      </w:r>
    </w:p>
    <w:p>
      <w:pPr>
        <w:pStyle w:val="Compact"/>
        <w:numPr>
          <w:ilvl w:val="0"/>
          <w:numId w:val="1012"/>
        </w:numPr>
      </w:pPr>
      <w:r>
        <w:t xml:space="preserve">Text: Deep Charcoal #1A1A1A. Panels: Warm Off-White #F7F4EE, Calm Beige #ECE4CF. Line #E2DBC9. Muted #6B6B66.</w:t>
      </w:r>
    </w:p>
    <w:p>
      <w:pPr>
        <w:pStyle w:val="Compact"/>
        <w:numPr>
          <w:ilvl w:val="0"/>
          <w:numId w:val="1012"/>
        </w:numPr>
      </w:pPr>
      <w:r>
        <w:t xml:space="preserve">Tagline:</w:t>
      </w:r>
      <w:r>
        <w:t xml:space="preserve"> </w:t>
      </w:r>
      <w:r>
        <w:t xml:space="preserve">“Sunlight. Evolved.”</w:t>
      </w:r>
    </w:p>
    <w:p>
      <w:pPr>
        <w:pStyle w:val="Compact"/>
        <w:numPr>
          <w:ilvl w:val="0"/>
          <w:numId w:val="1012"/>
        </w:numPr>
      </w:pPr>
      <w:r>
        <w:t xml:space="preserve">Voice: peer-to-peer, founder-to-peer. No em-dashes ever; use a comma, period, or rewrite. No icons or decorative glyphs.</w:t>
      </w:r>
    </w:p>
    <w:p>
      <w:pPr>
        <w:pStyle w:val="Compact"/>
        <w:numPr>
          <w:ilvl w:val="0"/>
          <w:numId w:val="1012"/>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3"/>
        </w:numPr>
      </w:pPr>
      <w:r>
        <w:t xml:space="preserve">Structure: Private Credit, Promissory Note.</w:t>
      </w:r>
    </w:p>
    <w:p>
      <w:pPr>
        <w:pStyle w:val="Compact"/>
        <w:numPr>
          <w:ilvl w:val="0"/>
          <w:numId w:val="1013"/>
        </w:numPr>
      </w:pPr>
      <w:r>
        <w:rPr>
          <w:b/>
          <w:bCs/>
        </w:rPr>
        <w:t xml:space="preserve">Current company valuation: $10M.</w:t>
      </w:r>
      <w:r>
        <w:t xml:space="preserve"> </w:t>
      </w:r>
      <w:r>
        <w:t xml:space="preserve">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p>
      <w:pPr>
        <w:pStyle w:val="Compact"/>
        <w:numPr>
          <w:ilvl w:val="0"/>
          <w:numId w:val="1013"/>
        </w:numPr>
      </w:pPr>
      <w:r>
        <w:t xml:space="preserve">Total raise: $3.5M. Minimum: $50,000. Return: 12 percent per annum. Term: 3 years.</w:t>
      </w:r>
    </w:p>
    <w:p>
      <w:pPr>
        <w:pStyle w:val="Compact"/>
        <w:numPr>
          <w:ilvl w:val="0"/>
          <w:numId w:val="1013"/>
        </w:numPr>
      </w:pPr>
      <w:r>
        <w:t xml:space="preserve">Interest paid quarterly (postponed the first 3 months).</w:t>
      </w:r>
    </w:p>
    <w:p>
      <w:pPr>
        <w:pStyle w:val="Compact"/>
        <w:numPr>
          <w:ilvl w:val="0"/>
          <w:numId w:val="1013"/>
        </w:numPr>
      </w:pPr>
      <w:r>
        <w:t xml:space="preserve">Conversion option: at investor discretion, 20 percent discount from an independent SEC valuation.</w:t>
      </w:r>
    </w:p>
    <w:p>
      <w:pPr>
        <w:pStyle w:val="Compact"/>
        <w:numPr>
          <w:ilvl w:val="0"/>
          <w:numId w:val="1013"/>
        </w:numPr>
      </w:pPr>
      <w:r>
        <w:t xml:space="preserve">Exit target: $100 to 150M in 5 years.</w:t>
      </w:r>
    </w:p>
    <w:p>
      <w:pPr>
        <w:pStyle w:val="Compact"/>
        <w:numPr>
          <w:ilvl w:val="0"/>
          <w:numId w:val="1013"/>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4"/>
        </w:numPr>
      </w:pPr>
      <w:r>
        <w:t xml:space="preserve">Partner: Lumanova. Product brand: Luma D Light. Pricing: same MSRP ($2,995 / $8,950).</w:t>
      </w:r>
    </w:p>
    <w:p>
      <w:pPr>
        <w:pStyle w:val="Compact"/>
        <w:numPr>
          <w:ilvl w:val="0"/>
          <w:numId w:val="1014"/>
        </w:numPr>
      </w:pPr>
      <w:r>
        <w:t xml:space="preserve">Arrangement: OEM white-label; Lumanova sells under their brand, Enyrgy manufactures. Exclusivity: Black Unit.</w:t>
      </w:r>
    </w:p>
    <w:p>
      <w:pPr>
        <w:pStyle w:val="Compact"/>
        <w:numPr>
          <w:ilvl w:val="0"/>
          <w:numId w:val="1014"/>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4"/>
        </w:numPr>
      </w:pPr>
      <w:r>
        <w:t xml:space="preserve">Any OEM matter escalates through the CEO to the human founders.</w:t>
      </w:r>
    </w:p>
    <w:p>
      <w:pPr>
        <w:pStyle w:val="Compact"/>
        <w:numPr>
          <w:ilvl w:val="0"/>
          <w:numId w:val="1014"/>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p>
      <w:pPr>
        <w:pStyle w:val="Compact"/>
        <w:numPr>
          <w:ilvl w:val="0"/>
          <w:numId w:val="1014"/>
        </w:numPr>
      </w:pPr>
      <w:r>
        <w:rPr>
          <w:b/>
          <w:bCs/>
        </w:rPr>
        <w:t xml:space="preserve">Facility referral arrangement: ESCALATE TO SCOTT. Do not run this conversation.</w:t>
      </w:r>
      <w:r>
        <w:t xml:space="preserve"> </w:t>
      </w: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 Because the member is the buyer of record, that purchase is HSA/FSA eligible (see §3) — the referral link does not change whose purchase it is.</w:t>
      </w:r>
    </w:p>
    <w:p>
      <w:pPr>
        <w:pStyle w:val="Compact"/>
        <w:numPr>
          <w:ilvl w:val="1"/>
          <w:numId w:val="1015"/>
        </w:numPr>
      </w:pPr>
      <w:r>
        <w:rPr>
          <w:b/>
          <w:bCs/>
        </w:rPr>
        <w:t xml:space="preserve">The commission is $600 per Consumer Unit sale, and this figure appears in Commercial Drip Touch 7</w:t>
      </w:r>
      <w:r>
        <w:t xml:space="preserve">, so a facility that received that email already has it. An agent may therefore confirm the figure if a facility quotes it back, but</w:t>
      </w:r>
      <w:r>
        <w:t xml:space="preserve"> </w:t>
      </w:r>
      <w:r>
        <w:rPr>
          <w:b/>
          <w:bCs/>
        </w:rPr>
        <w:t xml:space="preserve">must not negotiate, extend, or discuss terms</w:t>
      </w:r>
      <w:r>
        <w:t xml:space="preserve"> </w:t>
      </w:r>
      <w:r>
        <w:t xml:space="preserve">— hand off to Scott, same as white-label and distribution. Scott handles referral arrangements personally (decision, Aug 14 2026).</w:t>
      </w:r>
    </w:p>
    <w:bookmarkEnd w:id="23"/>
    <w:bookmarkStart w:id="24" w:name="key-reference-facts-quick-lookup"/>
    <w:p>
      <w:pPr>
        <w:pStyle w:val="Heading2"/>
      </w:pPr>
      <w:r>
        <w:t xml:space="preserve">15. Key reference facts (quick lookup)</w:t>
      </w:r>
    </w:p>
    <w:tbl>
      <w:tblPr>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2026-08-17T22:11:22Z</dcterms:created>
  <dcterms:modified xsi:type="dcterms:W3CDTF">2026-08-17T22:11:22Z</dcterms:modified>
</cp:coreProperties>
</file>

<file path=docProps/custom.xml><?xml version="1.0" encoding="utf-8"?>
<Properties xmlns="http://schemas.openxmlformats.org/officeDocument/2006/custom-properties" xmlns:vt="http://schemas.openxmlformats.org/officeDocument/2006/docPropsVTypes"/>
</file>