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6d64bb781114ed9b37dd57038f1fb9d81bba5"/>
    <w:p>
      <w:pPr>
        <w:pStyle w:val="Heading1"/>
      </w:pPr>
      <w:r>
        <w:t xml:space="preserve">Investor follow-up: Brian Goldberg, Monroe Street Capital Partners</w:t>
      </w:r>
    </w:p>
    <w:p>
      <w:pPr>
        <w:pStyle w:val="FirstParagraph"/>
      </w:pPr>
      <w:r>
        <w:rPr>
          <w:b/>
          <w:bCs/>
        </w:rPr>
        <w:t xml:space="preserve">Call:</w:t>
      </w:r>
      <w:r>
        <w:t xml:space="preserve"> </w:t>
      </w:r>
      <w:r>
        <w:t xml:space="preserve">August 29, 2026, introduced by Brian Cameron.</w:t>
      </w:r>
      <w:r>
        <w:t xml:space="preserve"> </w:t>
      </w:r>
      <w:r>
        <w:rPr>
          <w:b/>
          <w:bCs/>
        </w:rPr>
        <w:t xml:space="preserve">Action:</w:t>
      </w:r>
      <w:r>
        <w:t xml:space="preserve"> </w:t>
      </w:r>
      <w:r>
        <w:t xml:space="preserve">send the data room link.</w:t>
      </w:r>
      <w:r>
        <w:t xml:space="preserve"> </w:t>
      </w:r>
      <w:r>
        <w:rPr>
          <w:b/>
          <w:bCs/>
        </w:rPr>
        <w:t xml:space="preserve">Send from:</w:t>
      </w:r>
      <w:r>
        <w:t xml:space="preserve"> </w:t>
      </w:r>
      <w:r>
        <w:t xml:space="preserve">Scott’s own mailbox. His normal signature applies, so no sign-off is typed in the body.</w:t>
      </w:r>
    </w:p>
    <w:p>
      <w:r>
        <w:pict>
          <v:rect style="width:0;height:1.5pt" o:hralign="center" o:hrstd="t" o:hr="t"/>
        </w:pict>
      </w:r>
    </w:p>
    <w:p>
      <w:pPr>
        <w:pStyle w:val="FirstParagraph"/>
      </w:pPr>
      <w:r>
        <w:rPr>
          <w:b/>
          <w:bCs/>
        </w:rPr>
        <w:t xml:space="preserve">Subject:</w:t>
      </w:r>
      <w:r>
        <w:t xml:space="preserve"> </w:t>
      </w:r>
      <w:r>
        <w:t xml:space="preserve">Thank you, and the Enyrgy data room</w:t>
      </w:r>
    </w:p>
    <w:p>
      <w:pPr>
        <w:pStyle w:val="BodyText"/>
      </w:pPr>
      <w:r>
        <w:rPr>
          <w:b/>
          <w:bCs/>
        </w:rPr>
        <w:t xml:space="preserve">Body:</w:t>
      </w:r>
    </w:p>
    <w:p>
      <w:pPr>
        <w:pStyle w:val="SourceCode"/>
      </w:pPr>
      <w:r>
        <w:rPr>
          <w:rStyle w:val="VerbatimChar"/>
        </w:rPr>
        <w:t xml:space="preserve">Brian,</w:t>
      </w:r>
      <w:r>
        <w:br/>
      </w:r>
      <w:r>
        <w:br/>
      </w:r>
      <w:r>
        <w:rPr>
          <w:rStyle w:val="VerbatimChar"/>
        </w:rPr>
        <w:t xml:space="preserve">Thank you for the time this morning. Brian Cameron had been talking about you for a while before today, and the introduction was worth the wait.</w:t>
      </w:r>
      <w:r>
        <w:br/>
      </w:r>
      <w:r>
        <w:br/>
      </w:r>
      <w:r>
        <w:rPr>
          <w:rStyle w:val="VerbatimChar"/>
        </w:rPr>
        <w:t xml:space="preserve">Here is the data room:</w:t>
      </w:r>
      <w:r>
        <w:br/>
      </w:r>
      <w:r>
        <w:br/>
      </w:r>
      <w:r>
        <w:rPr>
          <w:rStyle w:val="VerbatimChar"/>
        </w:rPr>
        <w:t xml:space="preserve">https://docsend.com/view/s/79r2dzwqrmiqdpwt</w:t>
      </w:r>
      <w:r>
        <w:br/>
      </w:r>
      <w:r>
        <w:br/>
      </w:r>
      <w:r>
        <w:rPr>
          <w:rStyle w:val="VerbatimChar"/>
        </w:rPr>
        <w:t xml:space="preserve">You said you wanted to move between high level and granular, so rather than leave you to hunt: the financials carry the GAAP projections, balance sheet and cash flow. Product and clinical covers the platform, the dosing protocol and the 12-week data. There is a company section with the patent position, manufacturing and the Gen 4 cost work. And the marketing material includes the engine you picked up on before I got to it.</w:t>
      </w:r>
      <w:r>
        <w:br/>
      </w:r>
      <w:r>
        <w:br/>
      </w:r>
      <w:r>
        <w:rPr>
          <w:rStyle w:val="VerbatimChar"/>
        </w:rPr>
        <w:t xml:space="preserve">Take it in whatever order is useful. If something you want is not in there, tell me and I will put it in the room rather than send it across separately, so we are never working from different versions.</w:t>
      </w:r>
      <w:r>
        <w:br/>
      </w:r>
      <w:r>
        <w:br/>
      </w:r>
      <w:r>
        <w:rPr>
          <w:rStyle w:val="VerbatimChar"/>
        </w:rPr>
        <w:t xml:space="preserve">On your side, you mentioned taking the listing vehicle question to your bank. That is the conversation I am most interested in. Whenever you have a read, I would rather have it early and rough than late and polished.</w:t>
      </w:r>
      <w:r>
        <w:br/>
      </w:r>
      <w:r>
        <w:br/>
      </w:r>
      <w:r>
        <w:rPr>
          <w:rStyle w:val="VerbatimChar"/>
        </w:rPr>
        <w:t xml:space="preserve">Thanks again, and for being straight about how investors will look at the transparency piece. That was useful to hear from someone who sees a lot of these.</w:t>
      </w:r>
      <w:r>
        <w:br/>
      </w:r>
      <w:r>
        <w:br/>
      </w:r>
      <w:r>
        <w:rPr>
          <w:rStyle w:val="VerbatimChar"/>
        </w:rPr>
        <w:t xml:space="preserve">I will check back next week unless I hear from you first.</w:t>
      </w:r>
    </w:p>
    <w:p>
      <w:r>
        <w:pict>
          <v:rect style="width:0;height:1.5pt" o:hralign="center" o:hrstd="t" o:hr="t"/>
        </w:pict>
      </w:r>
    </w:p>
    <w:bookmarkStart w:id="19" w:name="notes"/>
    <w:p>
      <w:pPr>
        <w:pStyle w:val="Heading2"/>
      </w:pPr>
      <w:r>
        <w:t xml:space="preserve">Notes</w:t>
      </w:r>
    </w:p>
    <w:p>
      <w:pPr>
        <w:pStyle w:val="FirstParagraph"/>
      </w:pPr>
      <w:r>
        <w:rPr>
          <w:b/>
          <w:bCs/>
        </w:rPr>
        <w:t xml:space="preserve">Short on purpose.</w:t>
      </w:r>
      <w:r>
        <w:t xml:space="preserve"> </w:t>
      </w:r>
      <w:r>
        <w:t xml:space="preserve">He heard the story this morning in Scott’s voice. Retelling it in writing is weaker than the memory of it, and repeating metrics he just heard reads as though Scott were not sure he was listening. What he needs is a route through the room, since he was told there is a lot in it.</w:t>
      </w:r>
    </w:p>
    <w:p>
      <w:pPr>
        <w:pStyle w:val="BodyText"/>
      </w:pPr>
      <w:r>
        <w:rPr>
          <w:b/>
          <w:bCs/>
        </w:rPr>
        <w:t xml:space="preserve">It closes on his action, not ours.</w:t>
      </w:r>
      <w:r>
        <w:t xml:space="preserve"> </w:t>
      </w:r>
      <w:r>
        <w:t xml:space="preserve">The listing vehicle question is the live thread, and asking for it early and rough gives him a reason to write back before diligence is finished.</w:t>
      </w:r>
    </w:p>
    <w:p>
      <w:pPr>
        <w:pStyle w:val="BodyText"/>
      </w:pPr>
      <w:r>
        <w:rPr>
          <w:b/>
          <w:bCs/>
        </w:rPr>
        <w:t xml:space="preserve">The clinical claims from the call are not restated in writing.</w:t>
      </w:r>
      <w:r>
        <w:t xml:space="preserve"> </w:t>
      </w:r>
      <w:r>
        <w:t xml:space="preserve">They belong in the data room with their own framing rather than in a forwardable email from the CEO. Nothing was cut that he has not already heard.</w:t>
      </w:r>
    </w:p>
    <w:bookmarkEnd w:id="19"/>
    <w:bookmarkEnd w:id="20"/>
    <w:sectPr w:rsidR="00656573">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Investor Followup MonroeStreet </w:t>
    </w:r>
    <w:proofErr w:type="gramStart"/>
    <w:r>
      <w:rPr>
        <w:rFonts w:ascii="Montserrat" w:eastAsia="Montserrat" w:hAnsi="Montserrat" w:cs="Montserrat"/>
        <w:b/>
        <w:bCs/>
        <w:color w:val="E64C38"/>
        <w:sz w:val="18"/>
        <w:szCs w:val="18"/>
      </w:rPr>
      <w:t xml:space="preserve">  </w:t>
    </w:r>
    <w:r>
      <w:rPr>
        <w:rFonts w:ascii="Montserrat" w:eastAsia="Montserrat" w:hAnsi="Montserrat" w:cs="Montserrat"/>
        <w:color w:val="999999"/>
        <w:sz w:val="18"/>
        <w:szCs w:val="18"/>
      </w:rPr>
      <w:t>CONFIDENTIAL</w:t>
    </w:r>
    <w:proofErr w:type="gram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DE2408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07FA75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47261BAD"/>
    <w:multiLevelType w:val="multilevel"/>
    <w:tmpl w:val="8ECE1826"/>
    <w:lvl w:ilvl="0">
      <w:start w:val="7"/>
      <w:numFmt w:val="decimal"/>
      <w:lvlText w:val="%1."/>
      <w:lvlJc w:val="left"/>
      <w:pPr>
        <w:tabs>
          <w:tab w:pos="0" w:val="num"/>
        </w:tabs>
        <w:ind w:hanging="480" w:left="480"/>
      </w:pPr>
    </w:lvl>
    <w:lvl w:ilvl="1">
      <w:start w:val="7"/>
      <w:numFmt w:val="decimal"/>
      <w:lvlText w:val="%2."/>
      <w:lvlJc w:val="left"/>
      <w:pPr>
        <w:tabs>
          <w:tab w:pos="720" w:val="num"/>
        </w:tabs>
        <w:ind w:hanging="480" w:left="1200"/>
      </w:pPr>
    </w:lvl>
    <w:lvl w:ilvl="2">
      <w:start w:val="7"/>
      <w:numFmt w:val="decimal"/>
      <w:lvlText w:val="%3."/>
      <w:lvlJc w:val="left"/>
      <w:pPr>
        <w:tabs>
          <w:tab w:pos="1440" w:val="num"/>
        </w:tabs>
        <w:ind w:hanging="480" w:left="1920"/>
      </w:pPr>
    </w:lvl>
    <w:lvl w:ilvl="3">
      <w:start w:val="7"/>
      <w:numFmt w:val="decimal"/>
      <w:lvlText w:val="%4."/>
      <w:lvlJc w:val="left"/>
      <w:pPr>
        <w:tabs>
          <w:tab w:pos="2160" w:val="num"/>
        </w:tabs>
        <w:ind w:hanging="480" w:left="2640"/>
      </w:pPr>
    </w:lvl>
    <w:lvl w:ilvl="4">
      <w:start w:val="7"/>
      <w:numFmt w:val="decimal"/>
      <w:lvlText w:val="%5."/>
      <w:lvlJc w:val="left"/>
      <w:pPr>
        <w:tabs>
          <w:tab w:pos="2880" w:val="num"/>
        </w:tabs>
        <w:ind w:hanging="480" w:left="3360"/>
      </w:pPr>
    </w:lvl>
    <w:lvl w:ilvl="5">
      <w:start w:val="7"/>
      <w:numFmt w:val="decimal"/>
      <w:lvlText w:val="%6."/>
      <w:lvlJc w:val="left"/>
      <w:pPr>
        <w:tabs>
          <w:tab w:pos="3600" w:val="num"/>
        </w:tabs>
        <w:ind w:hanging="480" w:left="4080"/>
      </w:pPr>
    </w:lvl>
    <w:lvl w:ilvl="6">
      <w:start w:val="7"/>
      <w:numFmt w:val="decimal"/>
      <w:lvlText w:val="%7."/>
      <w:lvlJc w:val="left"/>
      <w:pPr>
        <w:tabs>
          <w:tab w:pos="4320" w:val="num"/>
        </w:tabs>
        <w:ind w:hanging="480" w:left="4800"/>
      </w:pPr>
    </w:lvl>
    <w:lvl w:ilvl="7">
      <w:start w:val="7"/>
      <w:numFmt w:val="decimal"/>
      <w:lvlText w:val="%8."/>
      <w:lvlJc w:val="left"/>
      <w:pPr>
        <w:tabs>
          <w:tab w:pos="5040" w:val="num"/>
        </w:tabs>
        <w:ind w:hanging="480" w:left="5520"/>
      </w:pPr>
    </w:lvl>
    <w:lvl w:ilvl="8">
      <w:start w:val="7"/>
      <w:numFmt w:val="decimal"/>
      <w:lvlText w:val="%9."/>
      <w:lvlJc w:val="left"/>
      <w:pPr>
        <w:tabs>
          <w:tab w:pos="5760" w:val="num"/>
        </w:tabs>
        <w:ind w:hanging="480" w:left="6240"/>
      </w:pPr>
    </w:lvl>
  </w:abstractNum>
  <w:abstractNum w15:restartNumberingAfterBreak="0" w:abstractNumId="3">
    <w:nsid w:val="71315DCA"/>
    <w:multiLevelType w:val="multilevel"/>
    <w:tmpl w:val="8F1A713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66442937" w:numId="1">
    <w:abstractNumId w:val="1"/>
  </w:num>
  <w:num w16cid:durableId="611596762" w:numId="2">
    <w:abstractNumId w:val="0"/>
  </w:num>
  <w:num w16cid:durableId="388962429" w:numId="3">
    <w:abstractNumId w:val="0"/>
  </w:num>
  <w:num w16cid:durableId="1208103481" w:numId="4">
    <w:abstractNumId w:val="0"/>
  </w:num>
  <w:num w16cid:durableId="2058387244" w:numId="5">
    <w:abstractNumId w:val="0"/>
  </w:num>
  <w:num w16cid:durableId="571309507" w:numId="6">
    <w:abstractNumId w:val="0"/>
  </w:num>
  <w:num w16cid:durableId="564293530" w:numId="7">
    <w:abstractNumId w:val="0"/>
  </w:num>
  <w:num w16cid:durableId="1537962493" w:numId="8">
    <w:abstractNumId w:val="0"/>
  </w:num>
  <w:num w16cid:durableId="1458573164" w:numId="9">
    <w:abstractNumId w:val="0"/>
  </w:num>
  <w:num w16cid:durableId="2042437547" w:numId="10">
    <w:abstractNumId w:val="0"/>
  </w:num>
  <w:num w16cid:durableId="2042438987" w:numId="11">
    <w:abstractNumId w:val="0"/>
  </w:num>
  <w:num w16cid:durableId="477458780" w:numId="12">
    <w:abstractNumId w:val="0"/>
  </w:num>
  <w:num w16cid:durableId="698898323" w:numId="13">
    <w:abstractNumId w:val="0"/>
  </w:num>
  <w:num w16cid:durableId="424956732" w:numId="14">
    <w:abstractNumId w:val="0"/>
  </w:num>
  <w:num w16cid:durableId="69932026" w:numId="15">
    <w:abstractNumId w:val="0"/>
  </w:num>
  <w:num w16cid:durableId="1401829951"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0593767" w:numId="17">
    <w:abstractNumId w:val="0"/>
  </w:num>
  <w:num w16cid:durableId="293027331" w:numId="1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1A1A1A"/>
        <w:sz w:val="22"/>
        <w:szCs w:val="22"/>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64C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64C3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E64C3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E64C38"/>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E64C38"/>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E64C3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E64C3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E64C3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E64C3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color w:val="E64C38"/>
      <w:sz w:val="52"/>
      <w:szCs w:val="5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val="E64C38"/>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5704A3"/>
    <w:pPr>
      <w:spacing w:after="100"/>
    </w:pPr>
  </w:style>
  <w:style w:styleId="TOC2" w:type="paragraph">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2026-08-28T19:30:53Z</dcterms:created>
  <dcterms:modified xsi:type="dcterms:W3CDTF">2026-08-28T19:30:53Z</dcterms:modified>
</cp:coreProperties>
</file>

<file path=docProps/custom.xml><?xml version="1.0" encoding="utf-8"?>
<Properties xmlns="http://schemas.openxmlformats.org/officeDocument/2006/custom-properties" xmlns:vt="http://schemas.openxmlformats.org/officeDocument/2006/docPropsVTypes"/>
</file>