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7" w:name="enyrgy-master-todo"/>
    <w:p>
      <w:pPr>
        <w:pStyle w:val="Heading1"/>
      </w:pPr>
      <w:r>
        <w:t xml:space="preserve">Enyrgy Master TODO</w:t>
      </w:r>
    </w:p>
    <w:p>
      <w:pPr>
        <w:pStyle w:val="FirstParagraph"/>
      </w:pPr>
      <w:r>
        <w:rPr>
          <w:b/>
          <w:bCs/>
        </w:rPr>
        <w:t xml:space="preserve">Consolidated open-items list. Reconciled against the live state as of July 28, 2026 (Session 15).</w:t>
      </w:r>
      <w:r>
        <w:t xml:space="preserve"> </w:t>
      </w:r>
      <w:r>
        <w:t xml:space="preserve">Sourced from the Enterprise Architecture, WIP tracker, Implementation Guide v3.9, and Phase 2 Setup Guide, minus everything already shipped in Sessions 8 to 15. Priority order, top to bottom.</w:t>
      </w:r>
    </w:p>
    <w:p>
      <w:pPr>
        <w:pStyle w:val="BodyText"/>
      </w:pPr>
      <w:r>
        <w:t xml:space="preserve">The build is essentially done. What remains is finishing the go-live staging, a few external verifications and WF-07 wiring, investor-readiness prep, a batch of strategic architecture decisions, and documentation updates.</w:t>
      </w:r>
    </w:p>
    <w:p>
      <w:r>
        <w:pict>
          <v:rect style="width:0;height:1.5pt" o:hralign="center" o:hrstd="t" o:hr="t"/>
        </w:pict>
      </w:r>
    </w:p>
    <w:bookmarkStart w:id="9" w:name="finish-the-paperclip-go-live-active"/>
    <w:p>
      <w:pPr>
        <w:pStyle w:val="Heading2"/>
      </w:pPr>
      <w:r>
        <w:t xml:space="preserve">1. Finish the Paperclip go-live (active)</w:t>
      </w:r>
    </w:p>
    <w:p>
      <w:pPr>
        <w:pStyle w:val="Compact"/>
        <w:numPr>
          <w:ilvl w:val="0"/>
          <w:numId w:val="1001"/>
        </w:numPr>
      </w:pPr>
      <w:r>
        <w:t xml:space="preserve">Stage on the remaining heartbeats, one group at a time, watching cost for a day between each.</w:t>
      </w:r>
      <w:r>
        <w:t xml:space="preserve"> </w:t>
      </w:r>
      <w:r>
        <w:rPr>
          <w:b/>
          <w:bCs/>
        </w:rPr>
        <w:t xml:space="preserve">Set the interval in the same step you enable</w:t>
      </w:r>
      <w:r>
        <w:t xml:space="preserve"> </w:t>
      </w:r>
      <w:r>
        <w:t xml:space="preserve">(they default to</w:t>
      </w:r>
      <w:r>
        <w:t xml:space="preserve"> </w:t>
      </w:r>
      <w:r>
        <w:rPr>
          <w:rStyle w:val="VerbatimChar"/>
        </w:rPr>
        <w:t xml:space="preserve">300s</w:t>
      </w:r>
      <w:r>
        <w:t xml:space="preserve"> </w:t>
      </w:r>
      <w:r>
        <w:t xml:space="preserve">= every 5 minutes, which is a cost trap):</w:t>
      </w:r>
    </w:p>
    <w:p>
      <w:pPr>
        <w:pStyle w:val="Compact"/>
        <w:numPr>
          <w:ilvl w:val="1"/>
          <w:numId w:val="1002"/>
        </w:numPr>
      </w:pPr>
      <w:r>
        <w:t xml:space="preserve">Reactivation,</w:t>
      </w:r>
      <w:r>
        <w:t xml:space="preserve"> </w:t>
      </w:r>
      <w:r>
        <w:rPr>
          <w:rStyle w:val="VerbatimChar"/>
        </w:rPr>
        <w:t xml:space="preserve">21600</w:t>
      </w:r>
      <w:r>
        <w:t xml:space="preserve"> </w:t>
      </w:r>
      <w:r>
        <w:t xml:space="preserve">(6h) — ENABLED (July 28).</w:t>
      </w:r>
    </w:p>
    <w:p>
      <w:pPr>
        <w:pStyle w:val="Compact"/>
        <w:numPr>
          <w:ilvl w:val="1"/>
          <w:numId w:val="1003"/>
        </w:numPr>
      </w:pPr>
      <w:r>
        <w:t xml:space="preserve">Referral and Reviews — HELD for now (volume-gated). Instruction block is trimmed (review + testimonial live; referral paused with the deferred loyalty program). At current volume WF-07 sends the review/testimonial asks GHL-native, so the agent adds little. Enable when new-customer volume is steady; daily (</w:t>
      </w:r>
      <w:r>
        <w:rPr>
          <w:rStyle w:val="VerbatimChar"/>
        </w:rPr>
        <w:t xml:space="preserve">86400</w:t>
      </w:r>
      <w:r>
        <w:t xml:space="preserve">) is plenty, not 6h.</w:t>
      </w:r>
    </w:p>
    <w:p>
      <w:pPr>
        <w:pStyle w:val="Compact"/>
        <w:numPr>
          <w:ilvl w:val="1"/>
          <w:numId w:val="1004"/>
        </w:numPr>
      </w:pPr>
      <w:r>
        <w:t xml:space="preserve">Sales Scout,</w:t>
      </w:r>
      <w:r>
        <w:t xml:space="preserve"> </w:t>
      </w:r>
      <w:r>
        <w:rPr>
          <w:rStyle w:val="VerbatimChar"/>
        </w:rPr>
        <w:t xml:space="preserve">43200</w:t>
      </w:r>
      <w:r>
        <w:t xml:space="preserve"> </w:t>
      </w:r>
      <w:r>
        <w:t xml:space="preserve">(12h) — when volume justifies it.</w:t>
      </w:r>
    </w:p>
    <w:p>
      <w:pPr>
        <w:pStyle w:val="Compact"/>
        <w:numPr>
          <w:ilvl w:val="1"/>
          <w:numId w:val="1005"/>
        </w:numPr>
      </w:pPr>
      <w:r>
        <w:t xml:space="preserve">Client Success Manager,</w:t>
      </w:r>
      <w:r>
        <w:t xml:space="preserve"> </w:t>
      </w:r>
      <w:r>
        <w:rPr>
          <w:rStyle w:val="VerbatimChar"/>
        </w:rPr>
        <w:t xml:space="preserve">43200</w:t>
      </w:r>
      <w:r>
        <w:t xml:space="preserve"> </w:t>
      </w:r>
      <w:r>
        <w:t xml:space="preserve">(12h) — when volume justifies it.</w:t>
      </w:r>
    </w:p>
    <w:p>
      <w:pPr>
        <w:pStyle w:val="Compact"/>
        <w:numPr>
          <w:ilvl w:val="0"/>
          <w:numId w:val="1006"/>
        </w:numPr>
      </w:pPr>
      <w:r>
        <w:t xml:space="preserve">Keep CEO, COO, CRO, CFO, Audit and Compliance, PRD Gatherer, and Onboarding</w:t>
      </w:r>
      <w:r>
        <w:t xml:space="preserve"> </w:t>
      </w:r>
      <w:r>
        <w:rPr>
          <w:b/>
          <w:bCs/>
        </w:rPr>
        <w:t xml:space="preserve">event-driven (timer heartbeat OFF)</w:t>
      </w:r>
      <w:r>
        <w:t xml:space="preserve">. They wake on escalation/comment, not a timer.</w:t>
      </w:r>
    </w:p>
    <w:p>
      <w:pPr>
        <w:pStyle w:val="Compact"/>
        <w:numPr>
          <w:ilvl w:val="0"/>
          <w:numId w:val="1007"/>
        </w:numPr>
      </w:pPr>
      <w:r>
        <w:t xml:space="preserve">Keep Anthropic credit buffered and Paperclip budgets with headroom. Credit starvation multiplies cost (dying runs re-wake and replay growing threads) and causes confabulation. This is a standing operating rule, not a one-time fix.</w:t>
      </w:r>
    </w:p>
    <w:bookmarkEnd w:id="9"/>
    <w:bookmarkStart w:id="10" w:name="platform-fork-fixes"/>
    <w:p>
      <w:pPr>
        <w:pStyle w:val="Heading2"/>
      </w:pPr>
      <w:r>
        <w:t xml:space="preserve">2. Platform / fork fixes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Fix the phantom-completion bug.</w:t>
      </w:r>
      <w:r>
        <w:t xml:space="preserve"> </w:t>
      </w:r>
      <w:r>
        <w:t xml:space="preserve">A run that dies on</w:t>
      </w:r>
      <w:r>
        <w:t xml:space="preserve"> </w:t>
      </w:r>
      <w:r>
        <w:t xml:space="preserve">“Credit balance is too low”</w:t>
      </w:r>
      <w:r>
        <w:t xml:space="preserve"> </w:t>
      </w:r>
      <w:r>
        <w:t xml:space="preserve">was auto-flipped to</w:t>
      </w:r>
      <w:r>
        <w:t xml:space="preserve"> </w:t>
      </w:r>
      <w:r>
        <w:rPr>
          <w:rStyle w:val="VerbatimChar"/>
        </w:rPr>
        <w:t xml:space="preserve">done</w:t>
      </w:r>
      <w:r>
        <w:t xml:space="preserve"> </w:t>
      </w:r>
      <w:r>
        <w:t xml:space="preserve">(ENY-24) with no execution, masking an unresolved item. Fork fix: runs that die on a credit/budget error must go to</w:t>
      </w:r>
      <w:r>
        <w:t xml:space="preserve"> </w:t>
      </w:r>
      <w:r>
        <w:rPr>
          <w:rStyle w:val="VerbatimChar"/>
        </w:rPr>
        <w:t xml:space="preserve">blocked</w:t>
      </w:r>
      <w:r>
        <w:t xml:space="preserve">, never</w:t>
      </w:r>
      <w:r>
        <w:t xml:space="preserve"> </w:t>
      </w:r>
      <w:r>
        <w:rPr>
          <w:rStyle w:val="VerbatimChar"/>
        </w:rPr>
        <w:t xml:space="preserve">done</w:t>
      </w:r>
      <w:r>
        <w:t xml:space="preserve">. HIGH — this is a correctness bug in the platform.</w:t>
      </w:r>
    </w:p>
    <w:p>
      <w:pPr>
        <w:pStyle w:val="Compact"/>
        <w:numPr>
          <w:ilvl w:val="0"/>
          <w:numId w:val="1009"/>
        </w:numPr>
      </w:pPr>
      <w:r>
        <w:t xml:space="preserve">Approval-card context UX: cards now show issue → what approving does → what declining does (deployed).</w:t>
      </w:r>
    </w:p>
    <w:p>
      <w:pPr>
        <w:pStyle w:val="Compact"/>
        <w:numPr>
          <w:ilvl w:val="0"/>
          <w:numId w:val="1010"/>
        </w:numPr>
      </w:pPr>
      <w:r>
        <w:t xml:space="preserve">Ask-first policy rebalanced: internal CRM writes auto-run; sends/enroll/CFO stay gated.</w:t>
      </w:r>
    </w:p>
    <w:p>
      <w:pPr>
        <w:pStyle w:val="Compact"/>
        <w:numPr>
          <w:ilvl w:val="0"/>
          <w:numId w:val="1011"/>
        </w:numPr>
      </w:pPr>
      <w:r>
        <w:t xml:space="preserve">Tool-policy toggle bug fixed: metadata-only rule updates no longer re-validate untouched config (deployed).</w:t>
      </w:r>
    </w:p>
    <w:p>
      <w:pPr>
        <w:pStyle w:val="Compact"/>
        <w:numPr>
          <w:ilvl w:val="0"/>
          <w:numId w:val="1012"/>
        </w:numPr>
      </w:pPr>
      <w:r>
        <w:t xml:space="preserve">QC agent instruction tightened: must cite contact IDs + observed tags, never infer status from stage (repo + live agent updated).</w:t>
      </w:r>
    </w:p>
    <w:bookmarkEnd w:id="10"/>
    <w:bookmarkStart w:id="11" w:name="external-verifications-wf-07-completion"/>
    <w:p>
      <w:pPr>
        <w:pStyle w:val="Heading2"/>
      </w:pPr>
      <w:r>
        <w:t xml:space="preserve">3. External verifications &amp; WF-07 completion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Toll-free A2P (888) verification</w:t>
      </w:r>
      <w:r>
        <w:t xml:space="preserve"> </w:t>
      </w:r>
      <w:r>
        <w:t xml:space="preserve">— VALIDATED and approved for SMS (July 28, 2026). SMS can now send from the toll-free number 888-316-1695. Follow-up: activate any SMS touches that were paused waiting on this.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Wire the GBP review link into WF-07</w:t>
      </w:r>
      <w:r>
        <w:t xml:space="preserve"> </w:t>
      </w:r>
      <w:r>
        <w:t xml:space="preserve">— DONE. Google review link is live in the WF-07 Day-14 SMS (https://g.page/r/CfN5Rj0CdmrfEAI/review), Trustpilot offered as secondary, STOP opt-out present, copy compliance-clean.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Referral program (DEFERRED — decided July 28)</w:t>
      </w:r>
      <w:r>
        <w:t xml:space="preserve"> </w:t>
      </w:r>
      <w:r>
        <w:t xml:space="preserve">— NOT implementing a third-party Shopify referral app (ReferralCandy/Smile.io). The next version of Enyrgy will ship a built-in loyalty/referral program instead. WF-07’s referral link stays an intentional placeholder until then. The Referral and Reviews agent’s review/testimonial functions are ready now; its referral function waits for the built-in program (see section 6).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Trustpilot</w:t>
      </w:r>
      <w:r>
        <w:t xml:space="preserve"> </w:t>
      </w:r>
      <w:r>
        <w:t xml:space="preserve">— permanent review URL + post-purchase automation.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Testimonial-form link on enyrgy.com</w:t>
      </w:r>
      <w:r>
        <w:t xml:space="preserve"> </w:t>
      </w:r>
      <w:r>
        <w:t xml:space="preserve">— add to post-purchase follow-up.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CNAM caller-ID registration</w:t>
      </w:r>
      <w:r>
        <w:t xml:space="preserve"> </w:t>
      </w:r>
      <w:r>
        <w:t xml:space="preserve">—</w:t>
      </w:r>
      <w:r>
        <w:t xml:space="preserve"> </w:t>
      </w:r>
      <w:r>
        <w:t xml:space="preserve">“Enyrgy”</w:t>
      </w:r>
      <w:r>
        <w:t xml:space="preserve"> </w:t>
      </w:r>
      <w:r>
        <w:t xml:space="preserve">on outbound caller ID. Low priority.</w:t>
      </w:r>
    </w:p>
    <w:bookmarkEnd w:id="11"/>
    <w:bookmarkStart w:id="12" w:name="investor-readiness"/>
    <w:p>
      <w:pPr>
        <w:pStyle w:val="Heading2"/>
      </w:pPr>
      <w:r>
        <w:t xml:space="preserve">4. Investor readiness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Complete the investor contact spreadsheet</w:t>
      </w:r>
      <w:r>
        <w:t xml:space="preserve"> </w:t>
      </w:r>
      <w:r>
        <w:t xml:space="preserve">(100+ contacts), then import.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Investor Presentation calendar</w:t>
      </w:r>
      <w:r>
        <w:t xml:space="preserve"> </w:t>
      </w:r>
      <w:r>
        <w:t xml:space="preserve">— conflict detection verified/fixed (July 28).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Content assets</w:t>
      </w:r>
      <w:r>
        <w:t xml:space="preserve"> </w:t>
      </w:r>
      <w:r>
        <w:t xml:space="preserve">— voicemail recordings and the commercial ROI PDF (PPM itself is attorney-approved).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Q2 2026 investor update</w:t>
      </w:r>
      <w:r>
        <w:t xml:space="preserve"> </w:t>
      </w:r>
      <w:r>
        <w:t xml:space="preserve">— SENT TO BRIAN for review (July 28). Awaiting Brian + securities-attorney sign-off before sending; send only to existing/already-introduced investors. Standalone</w:t>
      </w:r>
      <w:r>
        <w:t xml:space="preserve"> </w:t>
      </w:r>
      <w:r>
        <w:rPr>
          <w:rStyle w:val="VerbatimChar"/>
        </w:rPr>
        <w:t xml:space="preserve">Enyrgy_Investor_Update_Q2_2026.docx</w:t>
      </w:r>
      <w:r>
        <w:t xml:space="preserve">. (Cash-position and amount-committed lines intentionally omitted; go-to-market + compounding-usage detail incorporated from the Brandon email.)</w:t>
      </w:r>
    </w:p>
    <w:bookmarkEnd w:id="12"/>
    <w:bookmarkStart w:id="13" w:name="X787c6ae49ec488fed45086d4c0a203c1e5c3e7f"/>
    <w:p>
      <w:pPr>
        <w:pStyle w:val="Heading2"/>
      </w:pPr>
      <w:r>
        <w:t xml:space="preserve">5. Strategic architecture decisions (mostly ratify, not build)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Shopify to GHL purchase sync</w:t>
      </w:r>
      <w:r>
        <w:t xml:space="preserve"> </w:t>
      </w:r>
      <w:r>
        <w:t xml:space="preserve">— the EA flags this as the top gap, but it predates the Session 11 native integration + WF-27/28/29, which largely built it. Reconcile the EA and ratify rather than rebuild.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System-of-record ownership map</w:t>
      </w:r>
      <w:r>
        <w:t xml:space="preserve"> </w:t>
      </w:r>
      <w:r>
        <w:t xml:space="preserve">— ratify the documented SoR (decision/doc task).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Device App to GHL usage-data flow</w:t>
      </w:r>
      <w:r>
        <w:t xml:space="preserve"> </w:t>
      </w:r>
      <w:r>
        <w:t xml:space="preserve">— deferred</w:t>
      </w:r>
      <w:r>
        <w:t xml:space="preserve"> </w:t>
      </w:r>
      <w:r>
        <w:t xml:space="preserve">“Phase 2-plus”</w:t>
      </w:r>
      <w:r>
        <w:t xml:space="preserve">; decide whether/how usage data flows, with privacy treatment.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OEM / Lumanova data boundary</w:t>
      </w:r>
      <w:r>
        <w:t xml:space="preserve"> </w:t>
      </w:r>
      <w:r>
        <w:t xml:space="preserve">— formalize an auditable path as the partner program grows.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Metric governance owner</w:t>
      </w:r>
      <w:r>
        <w:t xml:space="preserve"> </w:t>
      </w:r>
      <w:r>
        <w:t xml:space="preserve">— figures reconciled; assign a single owner.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Facility address exception</w:t>
      </w:r>
      <w:r>
        <w:t xml:space="preserve"> </w:t>
      </w:r>
      <w:r>
        <w:t xml:space="preserve">— RESOLVED (July 28). All Shopify policies (Privacy, Terms, Refund) updated to 5115 N 27th Ave, Bld 66, Phoenix, AZ 85017.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Status-lifecycle representation</w:t>
      </w:r>
      <w:r>
        <w:t xml:space="preserve"> </w:t>
      </w:r>
      <w:r>
        <w:t xml:space="preserve">(minor) — the account tracks lifecycle two ways:</w:t>
      </w:r>
      <w:r>
        <w:t xml:space="preserve"> </w:t>
      </w:r>
      <w:r>
        <w:rPr>
          <w:rStyle w:val="VerbatimChar"/>
        </w:rPr>
        <w:t xml:space="preserve">status_</w:t>
      </w:r>
      <w:r>
        <w:t xml:space="preserve"> </w:t>
      </w:r>
      <w:r>
        <w:t xml:space="preserve">tags on router/drip contacts, and opportunity stage +</w:t>
      </w:r>
      <w:r>
        <w:t xml:space="preserve"> </w:t>
      </w:r>
      <w:r>
        <w:rPr>
          <w:rStyle w:val="VerbatimChar"/>
        </w:rPr>
        <w:t xml:space="preserve">magnet_lead</w:t>
      </w:r>
      <w:r>
        <w:t xml:space="preserve">/</w:t>
      </w:r>
      <w:r>
        <w:rPr>
          <w:rStyle w:val="VerbatimChar"/>
        </w:rPr>
        <w:t xml:space="preserve">nurture_longterm</w:t>
      </w:r>
      <w:r>
        <w:t xml:space="preserve"> </w:t>
      </w:r>
      <w:r>
        <w:t xml:space="preserve">on magnet leads. Candidate tidy: make the pipeline stage the single source of truth. NOTE: the QC</w:t>
      </w:r>
      <w:r>
        <w:t xml:space="preserve"> </w:t>
      </w:r>
      <w:r>
        <w:t xml:space="preserve">“systemic lifecycle”</w:t>
      </w:r>
      <w:r>
        <w:t xml:space="preserve"> </w:t>
      </w:r>
      <w:r>
        <w:t xml:space="preserve">escalation (ENY-20) that surfaced this was verified a FALSE POSITIVE against the live account; this remains only a low-priority design tidy, not a live bug.</w:t>
      </w:r>
    </w:p>
    <w:bookmarkEnd w:id="13"/>
    <w:bookmarkStart w:id="14" w:name="future-optional"/>
    <w:p>
      <w:pPr>
        <w:pStyle w:val="Heading2"/>
      </w:pPr>
      <w:r>
        <w:t xml:space="preserve">6. Future / optional</w:t>
      </w:r>
    </w:p>
    <w:p>
      <w:pPr>
        <w:pStyle w:val="Compact"/>
        <w:numPr>
          <w:ilvl w:val="0"/>
          <w:numId w:val="1030"/>
        </w:numPr>
      </w:pPr>
      <w:r>
        <w:rPr>
          <w:b/>
          <w:bCs/>
        </w:rPr>
        <w:t xml:space="preserve">Built-in loyalty/referral program</w:t>
      </w:r>
      <w:r>
        <w:t xml:space="preserve"> </w:t>
      </w:r>
      <w:r>
        <w:t xml:space="preserve">— planned for the next version of Enyrgy, replacing the need for a third-party Shopify referral app. This will supply the referral link/mechanic that WF-07 and the Referral and Reviews agent are waiting on ($150 off referee / $100 store credit referrer are the intended terms).</w:t>
      </w:r>
    </w:p>
    <w:p>
      <w:pPr>
        <w:pStyle w:val="Compact"/>
        <w:numPr>
          <w:ilvl w:val="0"/>
          <w:numId w:val="1031"/>
        </w:numPr>
      </w:pPr>
      <w:r>
        <w:rPr>
          <w:b/>
          <w:bCs/>
        </w:rPr>
        <w:t xml:space="preserve">Reporting dashboards</w:t>
      </w:r>
      <w:r>
        <w:t xml:space="preserve"> </w:t>
      </w:r>
      <w:r>
        <w:t xml:space="preserve">(GHL KPI views) and the</w:t>
      </w:r>
      <w:r>
        <w:t xml:space="preserve"> </w:t>
      </w:r>
      <w:r>
        <w:rPr>
          <w:b/>
          <w:bCs/>
        </w:rPr>
        <w:t xml:space="preserve">Reporting Agent</w:t>
      </w:r>
      <w:r>
        <w:t xml:space="preserve"> </w:t>
      </w:r>
      <w:r>
        <w:t xml:space="preserve">(Phase-2 addition).</w:t>
      </w:r>
    </w:p>
    <w:p>
      <w:pPr>
        <w:pStyle w:val="Compact"/>
        <w:numPr>
          <w:ilvl w:val="0"/>
          <w:numId w:val="1032"/>
        </w:numPr>
      </w:pPr>
      <w:r>
        <w:rPr>
          <w:b/>
          <w:bCs/>
        </w:rPr>
        <w:t xml:space="preserve">The other five Phase-2 agents</w:t>
      </w:r>
      <w:r>
        <w:t xml:space="preserve"> </w:t>
      </w:r>
      <w:r>
        <w:t xml:space="preserve">— Proposal Writer, OEM Pipeline, Podcast Attribution, Clinical Concierge, Billing. Add only after the core is stable.</w:t>
      </w:r>
    </w:p>
    <w:p>
      <w:pPr>
        <w:pStyle w:val="Compact"/>
        <w:numPr>
          <w:ilvl w:val="0"/>
          <w:numId w:val="1033"/>
        </w:numPr>
      </w:pPr>
      <w:r>
        <w:rPr>
          <w:b/>
          <w:bCs/>
        </w:rPr>
        <w:t xml:space="preserve">Paid acquisition</w:t>
      </w:r>
      <w:r>
        <w:t xml:space="preserve"> </w:t>
      </w:r>
      <w:r>
        <w:t xml:space="preserve">(Meta/Google) — after domain warmup finishes.</w:t>
      </w:r>
    </w:p>
    <w:p>
      <w:pPr>
        <w:pStyle w:val="Compact"/>
        <w:numPr>
          <w:ilvl w:val="0"/>
          <w:numId w:val="1034"/>
        </w:numPr>
      </w:pPr>
      <w:r>
        <w:rPr>
          <w:b/>
          <w:bCs/>
        </w:rPr>
        <w:t xml:space="preserve">Domain warmup ramp</w:t>
      </w:r>
      <w:r>
        <w:t xml:space="preserve"> </w:t>
      </w:r>
      <w:r>
        <w:t xml:space="preserve">— mg.enyrgy.com still Stage 1; do NOT bulk-send the 600+ list. Send the first testimonial batch warmup-safe; run weekly gift-card fulfillment from the</w:t>
      </w:r>
      <w:r>
        <w:t xml:space="preserve"> </w:t>
      </w:r>
      <w:r>
        <w:rPr>
          <w:rStyle w:val="VerbatimChar"/>
        </w:rPr>
        <w:t xml:space="preserve">gift_card_pending</w:t>
      </w:r>
      <w:r>
        <w:t xml:space="preserve"> </w:t>
      </w:r>
      <w:r>
        <w:t xml:space="preserve">queue.</w:t>
      </w:r>
    </w:p>
    <w:p>
      <w:pPr>
        <w:pStyle w:val="Compact"/>
        <w:numPr>
          <w:ilvl w:val="0"/>
          <w:numId w:val="1035"/>
        </w:numPr>
      </w:pPr>
      <w:r>
        <w:rPr>
          <w:b/>
          <w:bCs/>
        </w:rPr>
        <w:t xml:space="preserve">Form embeds</w:t>
      </w:r>
      <w:r>
        <w:t xml:space="preserve"> </w:t>
      </w:r>
      <w:r>
        <w:t xml:space="preserve">— Commercial Inquiry + Partner Application forms onto go.enyrgy.com (developer).</w:t>
      </w:r>
    </w:p>
    <w:p>
      <w:pPr>
        <w:pStyle w:val="Compact"/>
        <w:numPr>
          <w:ilvl w:val="0"/>
          <w:numId w:val="1036"/>
        </w:numPr>
      </w:pPr>
      <w:r>
        <w:rPr>
          <w:b/>
          <w:bCs/>
        </w:rPr>
        <w:t xml:space="preserve">Upgrade the abandoned-checkout Railway service off trial</w:t>
      </w:r>
      <w:r>
        <w:t xml:space="preserve"> </w:t>
      </w:r>
      <w:r>
        <w:t xml:space="preserve">(may already be on Hobby; confirm).</w:t>
      </w:r>
    </w:p>
    <w:bookmarkEnd w:id="14"/>
    <w:bookmarkStart w:id="15" w:name="documentation-hygiene"/>
    <w:p>
      <w:pPr>
        <w:pStyle w:val="Heading2"/>
      </w:pPr>
      <w:r>
        <w:t xml:space="preserve">7. Documentation hygiene</w:t>
      </w:r>
    </w:p>
    <w:p>
      <w:pPr>
        <w:pStyle w:val="Compact"/>
        <w:numPr>
          <w:ilvl w:val="0"/>
          <w:numId w:val="1037"/>
        </w:numPr>
      </w:pPr>
      <w:r>
        <w:rPr>
          <w:b/>
          <w:bCs/>
        </w:rPr>
        <w:t xml:space="preserve">Refresh the EA to v1.1</w:t>
      </w:r>
      <w:r>
        <w:t xml:space="preserve"> </w:t>
      </w:r>
      <w:r>
        <w:t xml:space="preserve">— dated June 29, stale on Shopify, GBP, facility, and the whole Paperclip layer.</w:t>
      </w:r>
    </w:p>
    <w:p>
      <w:pPr>
        <w:pStyle w:val="Compact"/>
        <w:numPr>
          <w:ilvl w:val="0"/>
          <w:numId w:val="1038"/>
        </w:numPr>
      </w:pPr>
      <w:r>
        <w:rPr>
          <w:b/>
          <w:bCs/>
        </w:rPr>
        <w:t xml:space="preserve">IG loose ends</w:t>
      </w:r>
      <w:r>
        <w:t xml:space="preserve"> </w:t>
      </w:r>
      <w:r>
        <w:t xml:space="preserve">— WF-23/WF-24 numbering gap (confirm not unbuilt), Winter/Tired-Test URLs missing from the Key URLs table, blank team contact fields (Dennis Lan, Dario Pompeii, Millie Carrillo, Thea Cartier).</w:t>
      </w:r>
    </w:p>
    <w:p>
      <w:pPr>
        <w:pStyle w:val="Compact"/>
        <w:numPr>
          <w:ilvl w:val="0"/>
          <w:numId w:val="1039"/>
        </w:numPr>
      </w:pPr>
      <w:r>
        <w:rPr>
          <w:b/>
          <w:bCs/>
        </w:rPr>
        <w:t xml:space="preserve">WIP</w:t>
      </w:r>
      <w:r>
        <w:t xml:space="preserve"> </w:t>
      </w:r>
      <w:r>
        <w:t xml:space="preserve">— correct the</w:t>
      </w:r>
      <w:r>
        <w:t xml:space="preserve"> </w:t>
      </w:r>
      <w:r>
        <w:t xml:space="preserve">“24-agent”</w:t>
      </w:r>
      <w:r>
        <w:t xml:space="preserve"> </w:t>
      </w:r>
      <w:r>
        <w:t xml:space="preserve">count to</w:t>
      </w:r>
      <w:r>
        <w:t xml:space="preserve"> </w:t>
      </w:r>
      <w:r>
        <w:t xml:space="preserve">“16-agent core (22 with additions).”</w:t>
      </w:r>
    </w:p>
    <w:bookmarkEnd w:id="15"/>
    <w:bookmarkStart w:id="16" w:name="X4ef6576507d0fd69ab3954b626c150ac8397a60"/>
    <w:p>
      <w:pPr>
        <w:pStyle w:val="Heading2"/>
      </w:pPr>
      <w:r>
        <w:t xml:space="preserve">8. Standing operating discipline (adopted Session 15)</w:t>
      </w:r>
    </w:p>
    <w:p>
      <w:pPr>
        <w:pStyle w:val="Compact"/>
        <w:numPr>
          <w:ilvl w:val="0"/>
          <w:numId w:val="1040"/>
        </w:numPr>
      </w:pPr>
      <w:r>
        <w:rPr>
          <w:b/>
          <w:bCs/>
        </w:rPr>
        <w:t xml:space="preserve">Verify agent audits/verifications against the live GHL account before acting.</w:t>
      </w:r>
      <w:r>
        <w:t xml:space="preserve"> </w:t>
      </w:r>
      <w:r>
        <w:t xml:space="preserve">Agents confabulate under credit starvation — they produced specific, plausible, false claims (invented tag states, a workflow last-edit date misread as a last-run date, a</w:t>
      </w:r>
      <w:r>
        <w:t xml:space="preserve"> </w:t>
      </w:r>
      <w:r>
        <w:t xml:space="preserve">“confirmed”</w:t>
      </w:r>
      <w:r>
        <w:t xml:space="preserve"> </w:t>
      </w:r>
      <w:r>
        <w:t xml:space="preserve">systemic issue that did not exist). Treat agent escalations as leads to verify, never as facts.</w:t>
      </w:r>
    </w:p>
    <w:p>
      <w:pPr>
        <w:pStyle w:val="Compact"/>
        <w:numPr>
          <w:ilvl w:val="0"/>
          <w:numId w:val="1041"/>
        </w:numPr>
      </w:pPr>
      <w:r>
        <w:rPr>
          <w:b/>
          <w:bCs/>
        </w:rPr>
        <w:t xml:space="preserve">Keep credit buffered and watch the Costs page.</w:t>
      </w:r>
      <w:r>
        <w:t xml:space="preserve"> </w:t>
      </w:r>
      <w:r>
        <w:t xml:space="preserve">Starvation is more expensive than headroom, not cheaper.</w:t>
      </w:r>
    </w:p>
    <w:bookmarkEnd w:id="16"/>
    <w:bookmarkEnd w:id="1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abstractNum w:abstractNumId="993">
    <w:nsid w:val="0000A993"/>
    <w:multiLevelType w:val="multilevel"/>
    <w:lvl w:ilvl="0">
      <w:numFmt w:val="bullet"/>
      <w:lvlText w:val="☒"/>
      <w:lvlJc w:val="left"/>
      <w:pPr>
        <w:ind w:left="720" w:hanging="360"/>
      </w:pPr>
    </w:lvl>
    <w:lvl w:ilvl="1">
      <w:numFmt w:val="bullet"/>
      <w:lvlText w:val="☒"/>
      <w:lvlJc w:val="left"/>
      <w:pPr>
        <w:ind w:left="1440" w:hanging="360"/>
      </w:pPr>
    </w:lvl>
    <w:lvl w:ilvl="2">
      <w:numFmt w:val="bullet"/>
      <w:lvlText w:val="☒"/>
      <w:lvlJc w:val="left"/>
      <w:pPr>
        <w:ind w:left="2160" w:hanging="360"/>
      </w:pPr>
    </w:lvl>
    <w:lvl w:ilvl="3">
      <w:numFmt w:val="bullet"/>
      <w:lvlText w:val="☒"/>
      <w:lvlJc w:val="left"/>
      <w:pPr>
        <w:ind w:left="2880" w:hanging="360"/>
      </w:pPr>
    </w:lvl>
    <w:lvl w:ilvl="4">
      <w:numFmt w:val="bullet"/>
      <w:lvlText w:val="☒"/>
      <w:lvlJc w:val="left"/>
      <w:pPr>
        <w:ind w:left="3600" w:hanging="360"/>
      </w:pPr>
    </w:lvl>
    <w:lvl w:ilvl="5">
      <w:numFmt w:val="bullet"/>
      <w:lvlText w:val="☒"/>
      <w:lvlJc w:val="left"/>
      <w:pPr>
        <w:ind w:left="4320" w:hanging="360"/>
      </w:pPr>
    </w:lvl>
    <w:lvl w:ilvl="6">
      <w:numFmt w:val="bullet"/>
      <w:lvlText w:val="☒"/>
      <w:lvlJc w:val="left"/>
      <w:pPr>
        <w:ind w:left="5040" w:hanging="360"/>
      </w:pPr>
    </w:lvl>
    <w:lvl w:ilvl="7">
      <w:numFmt w:val="bullet"/>
      <w:lvlText w:val="☒"/>
      <w:lvlJc w:val="left"/>
      <w:pPr>
        <w:ind w:left="5760" w:hanging="360"/>
      </w:pPr>
    </w:lvl>
    <w:lvl w:ilvl="8">
      <w:numFmt w:val="bullet"/>
      <w:lvlText w:val="☒"/>
      <w:lvlJc w:val="left"/>
      <w:pPr>
        <w:ind w:left="6480" w:hanging="360"/>
      </w:pPr>
    </w:lvl>
  </w:abstractNum>
  <w:num w:numId="1000">
    <w:abstractNumId w:val="990"/>
  </w:num>
  <w:num w:numId="1001">
    <w:abstractNumId w:val="992"/>
  </w:num>
  <w:num w:numId="1002">
    <w:abstractNumId w:val="993"/>
  </w:num>
  <w:num w:numId="1003">
    <w:abstractNumId w:val="992"/>
  </w:num>
  <w:num w:numId="1004">
    <w:abstractNumId w:val="992"/>
  </w:num>
  <w:num w:numId="1005">
    <w:abstractNumId w:val="992"/>
  </w:num>
  <w:num w:numId="1006">
    <w:abstractNumId w:val="992"/>
  </w:num>
  <w:num w:numId="1007">
    <w:abstractNumId w:val="992"/>
  </w:num>
  <w:num w:numId="1008">
    <w:abstractNumId w:val="992"/>
  </w:num>
  <w:num w:numId="1009">
    <w:abstractNumId w:val="993"/>
  </w:num>
  <w:num w:numId="1010">
    <w:abstractNumId w:val="993"/>
  </w:num>
  <w:num w:numId="1011">
    <w:abstractNumId w:val="993"/>
  </w:num>
  <w:num w:numId="1012">
    <w:abstractNumId w:val="993"/>
  </w:num>
  <w:num w:numId="1013">
    <w:abstractNumId w:val="993"/>
  </w:num>
  <w:num w:numId="1014">
    <w:abstractNumId w:val="993"/>
  </w:num>
  <w:num w:numId="1015">
    <w:abstractNumId w:val="992"/>
  </w:num>
  <w:num w:numId="1016">
    <w:abstractNumId w:val="992"/>
  </w:num>
  <w:num w:numId="1017">
    <w:abstractNumId w:val="992"/>
  </w:num>
  <w:num w:numId="1018">
    <w:abstractNumId w:val="992"/>
  </w:num>
  <w:num w:numId="1019">
    <w:abstractNumId w:val="992"/>
  </w:num>
  <w:num w:numId="1020">
    <w:abstractNumId w:val="993"/>
  </w:num>
  <w:num w:numId="1021">
    <w:abstractNumId w:val="992"/>
  </w:num>
  <w:num w:numId="1022">
    <w:abstractNumId w:val="992"/>
  </w:num>
  <w:num w:numId="1023">
    <w:abstractNumId w:val="992"/>
  </w:num>
  <w:num w:numId="1024">
    <w:abstractNumId w:val="992"/>
  </w:num>
  <w:num w:numId="1025">
    <w:abstractNumId w:val="992"/>
  </w:num>
  <w:num w:numId="1026">
    <w:abstractNumId w:val="992"/>
  </w:num>
  <w:num w:numId="1027">
    <w:abstractNumId w:val="992"/>
  </w:num>
  <w:num w:numId="1028">
    <w:abstractNumId w:val="993"/>
  </w:num>
  <w:num w:numId="1029">
    <w:abstractNumId w:val="992"/>
  </w:num>
  <w:num w:numId="1030">
    <w:abstractNumId w:val="992"/>
  </w:num>
  <w:num w:numId="1031">
    <w:abstractNumId w:val="992"/>
  </w:num>
  <w:num w:numId="1032">
    <w:abstractNumId w:val="992"/>
  </w:num>
  <w:num w:numId="1033">
    <w:abstractNumId w:val="992"/>
  </w:num>
  <w:num w:numId="1034">
    <w:abstractNumId w:val="992"/>
  </w:num>
  <w:num w:numId="1035">
    <w:abstractNumId w:val="992"/>
  </w:num>
  <w:num w:numId="1036">
    <w:abstractNumId w:val="992"/>
  </w:num>
  <w:num w:numId="1037">
    <w:abstractNumId w:val="992"/>
  </w:num>
  <w:num w:numId="1038">
    <w:abstractNumId w:val="992"/>
  </w:num>
  <w:num w:numId="1039">
    <w:abstractNumId w:val="992"/>
  </w:num>
  <w:num w:numId="1040">
    <w:abstractNumId w:val="992"/>
  </w:num>
  <w:num w:numId="1041">
    <w:abstractNumId w:val="992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Borders>
        <w:top w:val="single" w:sz="4" w:space="0" w:color="808080"/>
        <w:left w:val="single" w:sz="4" w:space="0" w:color="808080"/>
        <w:bottom w:val="single" w:sz="4" w:space="0" w:color="808080"/>
        <w:right w:val="single" w:sz="4" w:space="0" w:color="808080"/>
        <w:insideH w:val="single" w:sz="4" w:space="0" w:color="808080"/>
        <w:insideV w:val="single" w:sz="4" w:space="0" w:color="808080"/>
      </w:tblBorders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2026-07-29T04:45:59Z</dcterms:created>
  <dcterms:modified xsi:type="dcterms:W3CDTF">2026-07-29T04:45:59Z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