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enyrgy"/>
    <w:p>
      <w:pPr>
        <w:pStyle w:val="Heading1"/>
      </w:pPr>
      <w:r>
        <w:t xml:space="preserve">ENYRGY</w:t>
      </w:r>
    </w:p>
    <w:p>
      <w:pPr>
        <w:pStyle w:val="FirstParagraph"/>
      </w:pPr>
      <w:r>
        <w:rPr>
          <w:i/>
          <w:iCs/>
        </w:rPr>
        <w:t xml:space="preserve">Sunlight. Evolved.</w:t>
      </w:r>
    </w:p>
    <w:p>
      <w:pPr>
        <w:pStyle w:val="BodyText"/>
      </w:pPr>
      <w:r>
        <w:rPr>
          <w:b/>
          <w:bCs/>
        </w:rPr>
        <w:t xml:space="preserve">Prepared for the Center for New Medicine, Irvine, California</w:t>
      </w:r>
    </w:p>
    <w:bookmarkStart w:id="9" w:name="enyrgy-vitamin-d-primal-light-platform"/>
    <w:p>
      <w:pPr>
        <w:pStyle w:val="Heading2"/>
      </w:pPr>
      <w:r>
        <w:t xml:space="preserve">Enyrgy Vitamin D Primal Light Platform</w:t>
      </w:r>
    </w:p>
    <w:p>
      <w:pPr>
        <w:pStyle w:val="FirstParagraph"/>
      </w:pPr>
      <w:r>
        <w:rPr>
          <w:b/>
          <w:bCs/>
        </w:rPr>
        <w:t xml:space="preserve">A Vitamin D light modality for your service line, and a retail line for your shop</w:t>
      </w:r>
    </w:p>
    <w:p>
      <w:pPr>
        <w:pStyle w:val="BodyText"/>
      </w:pPr>
      <w:r>
        <w:t xml:space="preserve">The body makes its own Vitamin D from a two to four minute session of the right light, the same amount that would take two to four hours in mid day sun, without the burn or the aging. One session opens three pathways at once: Vitamin D, nitric oxide, and serotonin. The app reads each person’s skin type, sets the dose, and ends the session on its own, so no one is watching a clock.</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2.4x</w:t>
            </w:r>
          </w:p>
        </w:tc>
        <w:tc>
          <w:tcPr/>
          <w:p>
            <w:pPr>
              <w:pStyle w:val="Compact"/>
            </w:pPr>
            <w:r>
              <w:t xml:space="preserve">more efficient than sunlight for Vitamin D, 2 to 4 minutes replaces 2 to 4 hours of sun</w:t>
            </w:r>
          </w:p>
        </w:tc>
      </w:tr>
      <w:tr>
        <w:tc>
          <w:tcPr/>
          <w:p>
            <w:pPr>
              <w:pStyle w:val="Compact"/>
            </w:pPr>
            <w:r>
              <w:rPr>
                <w:b/>
                <w:bCs/>
              </w:rPr>
              <w:t xml:space="preserve">25,000+</w:t>
            </w:r>
          </w:p>
        </w:tc>
        <w:tc>
          <w:tcPr/>
          <w:p>
            <w:pPr>
              <w:pStyle w:val="Compact"/>
            </w:pPr>
            <w:r>
              <w:t xml:space="preserve">sessions completed, zero burns and zero adverse events</w:t>
            </w:r>
          </w:p>
        </w:tc>
      </w:tr>
      <w:tr>
        <w:tc>
          <w:tcPr/>
          <w:p>
            <w:pPr>
              <w:pStyle w:val="Compact"/>
            </w:pPr>
            <w:r>
              <w:rPr>
                <w:b/>
                <w:bCs/>
              </w:rPr>
              <w:t xml:space="preserve">Under 1%</w:t>
            </w:r>
          </w:p>
        </w:tc>
        <w:tc>
          <w:tcPr/>
          <w:p>
            <w:pPr>
              <w:pStyle w:val="Compact"/>
            </w:pPr>
            <w:r>
              <w:t xml:space="preserve">return rate, against an industry norm of 5 to 10 percent</w:t>
            </w:r>
          </w:p>
        </w:tc>
      </w:tr>
      <w:tr>
        <w:tc>
          <w:tcPr/>
          <w:p>
            <w:pPr>
              <w:pStyle w:val="Compact"/>
            </w:pPr>
            <w:r>
              <w:rPr>
                <w:b/>
                <w:bCs/>
              </w:rPr>
              <w:t xml:space="preserve">77%</w:t>
            </w:r>
          </w:p>
        </w:tc>
        <w:tc>
          <w:tcPr/>
          <w:p>
            <w:pPr>
              <w:pStyle w:val="Compact"/>
            </w:pPr>
            <w:r>
              <w:t xml:space="preserve">of indoor adults run low on Vitamin D, the demand is already in your book</w:t>
            </w:r>
          </w:p>
        </w:tc>
      </w:tr>
      <w:tr>
        <w:tc>
          <w:tcPr/>
          <w:p>
            <w:pPr>
              <w:pStyle w:val="Compact"/>
            </w:pPr>
            <w:r>
              <w:rPr>
                <w:b/>
                <w:bCs/>
              </w:rPr>
              <w:t xml:space="preserve">+111%</w:t>
            </w:r>
          </w:p>
        </w:tc>
        <w:tc>
          <w:tcPr/>
          <w:p>
            <w:pPr>
              <w:pStyle w:val="Compact"/>
            </w:pPr>
            <w:r>
              <w:t xml:space="preserve">average Vitamin D increase in our own 12 week study of five participants, detailed below</w:t>
            </w:r>
          </w:p>
        </w:tc>
      </w:tr>
    </w:tbl>
    <w:p>
      <w:r>
        <w:pict>
          <v:rect style="width:0;height:1.5pt" o:hralign="center" o:hrstd="t" o:hr="t"/>
        </w:pict>
      </w:r>
    </w:p>
    <w:bookmarkEnd w:id="9"/>
    <w:bookmarkStart w:id="10" w:name="where-it-fits"/>
    <w:p>
      <w:pPr>
        <w:pStyle w:val="Heading2"/>
      </w:pPr>
      <w:r>
        <w:t xml:space="preserve">WHERE IT FITS</w:t>
      </w:r>
    </w:p>
    <w:p>
      <w:pPr>
        <w:pStyle w:val="FirstParagraph"/>
      </w:pPr>
      <w:r>
        <w:t xml:space="preserve">This is not a new category for you. You already run LED laser, infrared beds, and frequency and voltage. Your team and your patients already believe in light. This is simply the Vitamin D one, the light that raises a number you and your patients can watch on a lab draw.</w:t>
      </w:r>
    </w:p>
    <w:p>
      <w:pPr>
        <w:pStyle w:val="BodyText"/>
      </w:pPr>
      <w:r>
        <w:t xml:space="preserve">Where supplements sit on your shelf, they are one lane. In research clinical trials, about one in four participants were low responders to Vitamin D supplementation, so a capsule does not reliably move the number for everyone. This does, and your own blood work is the proof.</w:t>
      </w:r>
    </w:p>
    <w:p>
      <w:r>
        <w:pict>
          <v:rect style="width:0;height:1.5pt" o:hralign="center" o:hrstd="t" o:hr="t"/>
        </w:pict>
      </w:r>
    </w:p>
    <w:bookmarkEnd w:id="10"/>
    <w:bookmarkStart w:id="11" w:name="X21a19599e2bc041912ab468af8bbbc6d8280c95"/>
    <w:p>
      <w:pPr>
        <w:pStyle w:val="Heading2"/>
      </w:pPr>
      <w:r>
        <w:t xml:space="preserve">WHAT WE MEASURED, AND WHAT IT DOES NOT SHOW</w:t>
      </w:r>
    </w:p>
    <w:p>
      <w:pPr>
        <w:pStyle w:val="FirstParagraph"/>
      </w:pPr>
      <w:r>
        <w:t xml:space="preserve">Twelve weeks. Five healthy adults, skin types II to IV, four to six sessions a week. No control group.</w:t>
      </w:r>
    </w:p>
    <w:p>
      <w:pPr>
        <w:pStyle w:val="BodyText"/>
      </w:pPr>
      <w:r>
        <w:rPr>
          <w:b/>
          <w:bCs/>
        </w:rPr>
        <w:t xml:space="preserve">This is our own study, not independent research, and five people is a small study.</w:t>
      </w:r>
      <w:r>
        <w:t xml:space="preserve"> </w:t>
      </w:r>
      <w:r>
        <w:t xml:space="preserve">We would rather hand you every row than an average.</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Participant</w:t>
            </w:r>
          </w:p>
        </w:tc>
        <w:tc>
          <w:tcPr/>
          <w:p>
            <w:pPr>
              <w:pStyle w:val="Compact"/>
            </w:pPr>
            <w:r>
              <w:t xml:space="preserve">Skin type</w:t>
            </w:r>
          </w:p>
        </w:tc>
        <w:tc>
          <w:tcPr/>
          <w:p>
            <w:pPr>
              <w:pStyle w:val="Compact"/>
            </w:pPr>
            <w:r>
              <w:t xml:space="preserve">Start, ng/mL</w:t>
            </w:r>
          </w:p>
        </w:tc>
        <w:tc>
          <w:tcPr/>
          <w:p>
            <w:pPr>
              <w:pStyle w:val="Compact"/>
            </w:pPr>
            <w:r>
              <w:t xml:space="preserve">End, ng/mL</w:t>
            </w:r>
          </w:p>
        </w:tc>
      </w:tr>
      <w:tr>
        <w:tc>
          <w:tcPr/>
          <w:p>
            <w:pPr>
              <w:pStyle w:val="Compact"/>
            </w:pPr>
            <w:r>
              <w:t xml:space="preserve">P1</w:t>
            </w:r>
          </w:p>
        </w:tc>
        <w:tc>
          <w:tcPr/>
          <w:p>
            <w:pPr>
              <w:pStyle w:val="Compact"/>
            </w:pPr>
            <w:r>
              <w:t xml:space="preserve">II</w:t>
            </w:r>
          </w:p>
        </w:tc>
        <w:tc>
          <w:tcPr/>
          <w:p>
            <w:pPr>
              <w:pStyle w:val="Compact"/>
            </w:pPr>
            <w:r>
              <w:t xml:space="preserve">38.4</w:t>
            </w:r>
          </w:p>
        </w:tc>
        <w:tc>
          <w:tcPr/>
          <w:p>
            <w:pPr>
              <w:pStyle w:val="Compact"/>
            </w:pPr>
            <w:r>
              <w:t xml:space="preserve">86.0</w:t>
            </w:r>
          </w:p>
        </w:tc>
      </w:tr>
      <w:tr>
        <w:tc>
          <w:tcPr/>
          <w:p>
            <w:pPr>
              <w:pStyle w:val="Compact"/>
            </w:pPr>
            <w:r>
              <w:t xml:space="preserve">P2</w:t>
            </w:r>
          </w:p>
        </w:tc>
        <w:tc>
          <w:tcPr/>
          <w:p>
            <w:pPr>
              <w:pStyle w:val="Compact"/>
            </w:pPr>
            <w:r>
              <w:t xml:space="preserve">III</w:t>
            </w:r>
          </w:p>
        </w:tc>
        <w:tc>
          <w:tcPr/>
          <w:p>
            <w:pPr>
              <w:pStyle w:val="Compact"/>
            </w:pPr>
            <w:r>
              <w:t xml:space="preserve">34.0</w:t>
            </w:r>
          </w:p>
        </w:tc>
        <w:tc>
          <w:tcPr/>
          <w:p>
            <w:pPr>
              <w:pStyle w:val="Compact"/>
            </w:pPr>
            <w:r>
              <w:t xml:space="preserve">88.4</w:t>
            </w:r>
          </w:p>
        </w:tc>
      </w:tr>
      <w:tr>
        <w:tc>
          <w:tcPr/>
          <w:p>
            <w:pPr>
              <w:pStyle w:val="Compact"/>
            </w:pPr>
            <w:r>
              <w:t xml:space="preserve">P3</w:t>
            </w:r>
          </w:p>
        </w:tc>
        <w:tc>
          <w:tcPr/>
          <w:p>
            <w:pPr>
              <w:pStyle w:val="Compact"/>
            </w:pPr>
            <w:r>
              <w:t xml:space="preserve">III</w:t>
            </w:r>
          </w:p>
        </w:tc>
        <w:tc>
          <w:tcPr/>
          <w:p>
            <w:pPr>
              <w:pStyle w:val="Compact"/>
            </w:pPr>
            <w:r>
              <w:t xml:space="preserve">37.0</w:t>
            </w:r>
          </w:p>
        </w:tc>
        <w:tc>
          <w:tcPr/>
          <w:p>
            <w:pPr>
              <w:pStyle w:val="Compact"/>
            </w:pPr>
            <w:r>
              <w:t xml:space="preserve">78.0</w:t>
            </w:r>
          </w:p>
        </w:tc>
      </w:tr>
      <w:tr>
        <w:tc>
          <w:tcPr/>
          <w:p>
            <w:pPr>
              <w:pStyle w:val="Compact"/>
            </w:pPr>
            <w:r>
              <w:t xml:space="preserve">P4</w:t>
            </w:r>
          </w:p>
        </w:tc>
        <w:tc>
          <w:tcPr/>
          <w:p>
            <w:pPr>
              <w:pStyle w:val="Compact"/>
            </w:pPr>
            <w:r>
              <w:t xml:space="preserve">IV</w:t>
            </w:r>
          </w:p>
        </w:tc>
        <w:tc>
          <w:tcPr/>
          <w:p>
            <w:pPr>
              <w:pStyle w:val="Compact"/>
            </w:pPr>
            <w:r>
              <w:t xml:space="preserve">47.0</w:t>
            </w:r>
          </w:p>
        </w:tc>
        <w:tc>
          <w:tcPr/>
          <w:p>
            <w:pPr>
              <w:pStyle w:val="Compact"/>
            </w:pPr>
            <w:r>
              <w:t xml:space="preserve">88.7</w:t>
            </w:r>
          </w:p>
        </w:tc>
      </w:tr>
      <w:tr>
        <w:tc>
          <w:tcPr/>
          <w:p>
            <w:pPr>
              <w:pStyle w:val="Compact"/>
            </w:pPr>
            <w:r>
              <w:t xml:space="preserve">P5</w:t>
            </w:r>
          </w:p>
        </w:tc>
        <w:tc>
          <w:tcPr/>
          <w:p>
            <w:pPr>
              <w:pStyle w:val="Compact"/>
            </w:pPr>
            <w:r>
              <w:t xml:space="preserve">III</w:t>
            </w:r>
          </w:p>
        </w:tc>
        <w:tc>
          <w:tcPr/>
          <w:p>
            <w:pPr>
              <w:pStyle w:val="Compact"/>
            </w:pPr>
            <w:r>
              <w:t xml:space="preserve">43.4</w:t>
            </w:r>
          </w:p>
        </w:tc>
        <w:tc>
          <w:tcPr/>
          <w:p>
            <w:pPr>
              <w:pStyle w:val="Compact"/>
            </w:pPr>
            <w:r>
              <w:t xml:space="preserve">79.9</w:t>
            </w:r>
          </w:p>
        </w:tc>
      </w:tr>
      <w:tr>
        <w:tc>
          <w:tcPr/>
          <w:p>
            <w:pPr>
              <w:pStyle w:val="Compact"/>
            </w:pPr>
            <w:r>
              <w:rPr>
                <w:b/>
                <w:bCs/>
              </w:rPr>
              <w:t xml:space="preserve">Average</w:t>
            </w:r>
          </w:p>
        </w:tc>
        <w:tc>
          <w:tcPr/>
          <w:p>
            <w:pPr>
              <w:pStyle w:val="Compact"/>
            </w:pPr>
          </w:p>
        </w:tc>
        <w:tc>
          <w:tcPr/>
          <w:p>
            <w:pPr>
              <w:pStyle w:val="Compact"/>
            </w:pPr>
            <w:r>
              <w:rPr>
                <w:b/>
                <w:bCs/>
              </w:rPr>
              <w:t xml:space="preserve">39.96</w:t>
            </w:r>
          </w:p>
        </w:tc>
        <w:tc>
          <w:tcPr/>
          <w:p>
            <w:pPr>
              <w:pStyle w:val="Compact"/>
            </w:pPr>
            <w:r>
              <w:rPr>
                <w:b/>
                <w:bCs/>
              </w:rPr>
              <w:t xml:space="preserve">84.20</w:t>
            </w:r>
          </w:p>
        </w:tc>
      </w:tr>
    </w:tbl>
    <w:p>
      <w:pPr>
        <w:pStyle w:val="BodyText"/>
      </w:pPr>
      <w:r>
        <w:t xml:space="preserve">A 111 percent average increase. Every participant started insufficient or borderline, every one reached optimal, and nobody dropped out.</w:t>
      </w:r>
    </w:p>
    <w:p>
      <w:pPr>
        <w:pStyle w:val="BodyText"/>
      </w:pPr>
      <w:r>
        <w:t xml:space="preserve">What it shows is narrow and real: in a small group, consistent sessions moved the number, and moved it in all five. What it does not show is a controlled effect size, and we are not going to claim one from five people.</w:t>
      </w:r>
    </w:p>
    <w:p>
      <w:pPr>
        <w:pStyle w:val="BodyText"/>
      </w:pPr>
      <w:r>
        <w:t xml:space="preserve">The study that will matter to you is the one you run in your own book, on your own patients, with your own lab. That is the point of the modality. It produces a number your team can watch.</w:t>
      </w:r>
    </w:p>
    <w:p>
      <w:r>
        <w:pict>
          <v:rect style="width:0;height:1.5pt" o:hralign="center" o:hrstd="t" o:hr="t"/>
        </w:pict>
      </w:r>
    </w:p>
    <w:bookmarkEnd w:id="11"/>
    <w:bookmarkStart w:id="12" w:name="safety-and-credibility"/>
    <w:p>
      <w:pPr>
        <w:pStyle w:val="Heading2"/>
      </w:pPr>
      <w:r>
        <w:t xml:space="preserve">SAFETY AND CREDIBILITY</w:t>
      </w:r>
    </w:p>
    <w:p>
      <w:pPr>
        <w:pStyle w:val="FirstParagraph"/>
      </w:pPr>
      <w:r>
        <w:t xml:space="preserve">Sunlight is roughly 95 percent UVA. Enyrgy flips it: over 90 percent UVB, under 10 percent UVA. The app calculates each user’s dose by skin type and shuts the session off automatically. 600 plus users across five countries. Made in the USA in Phoenix, Arizona.</w:t>
      </w:r>
    </w:p>
    <w:p>
      <w:pPr>
        <w:pStyle w:val="BodyText"/>
      </w:pPr>
      <w:r>
        <w:t xml:space="preserve">Our scientific advisory board includes Dr. Bruce Hollis, who has reviewed and endorsed the platform and is among the most cited Vitamin D researchers in the world, Dr. Samantha Kimball, who designed the dosing protocol behind every session, and Dr. William Grant, a global Vitamin D and UVB researcher.</w:t>
      </w:r>
    </w:p>
    <w:p>
      <w:r>
        <w:pict>
          <v:rect style="width:0;height:1.5pt" o:hralign="center" o:hrstd="t" o:hr="t"/>
        </w:pict>
      </w:r>
    </w:p>
    <w:bookmarkEnd w:id="12"/>
    <w:bookmarkStart w:id="13" w:name="two-revenue-lines-from-one-platform"/>
    <w:p>
      <w:pPr>
        <w:pStyle w:val="Heading2"/>
      </w:pPr>
      <w:r>
        <w:t xml:space="preserve">TWO REVENUE LINES FROM ONE PLATFORM</w:t>
      </w:r>
    </w:p>
    <w:p>
      <w:pPr>
        <w:pStyle w:val="FirstParagraph"/>
      </w:pPr>
      <w:r>
        <w:t xml:space="preserve">In-clinic, patients add it as a modality at $125 a month in your market. It also fits how your patients move through the center: those who are on-site a week and home for two can do sessions with you and take a unit home from your shop to hold their levels between visits.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In-clinic patients on the modality</w:t>
            </w:r>
          </w:p>
        </w:tc>
        <w:tc>
          <w:tcPr/>
          <w:p>
            <w:pPr>
              <w:pStyle w:val="Compact"/>
            </w:pPr>
            <w:r>
              <w:t xml:space="preserve">Monthly</w:t>
            </w:r>
          </w:p>
        </w:tc>
        <w:tc>
          <w:tcPr/>
          <w:p>
            <w:pPr>
              <w:pStyle w:val="Compact"/>
            </w:pPr>
            <w:r>
              <w:t xml:space="preserve">Annual</w:t>
            </w:r>
          </w:p>
        </w:tc>
      </w:tr>
      <w:tr>
        <w:tc>
          <w:tcPr/>
          <w:p>
            <w:pPr>
              <w:pStyle w:val="Compact"/>
            </w:pPr>
            <w:r>
              <w:t xml:space="preserve">25 patients</w:t>
            </w:r>
          </w:p>
        </w:tc>
        <w:tc>
          <w:tcPr/>
          <w:p>
            <w:pPr>
              <w:pStyle w:val="Compact"/>
            </w:pPr>
            <w:r>
              <w:t xml:space="preserve">$3,125</w:t>
            </w:r>
          </w:p>
        </w:tc>
        <w:tc>
          <w:tcPr/>
          <w:p>
            <w:pPr>
              <w:pStyle w:val="Compact"/>
            </w:pPr>
            <w:r>
              <w:t xml:space="preserve">$37,500</w:t>
            </w:r>
          </w:p>
        </w:tc>
      </w:tr>
      <w:tr>
        <w:tc>
          <w:tcPr/>
          <w:p>
            <w:pPr>
              <w:pStyle w:val="Compact"/>
            </w:pPr>
            <w:r>
              <w:t xml:space="preserve">50 patients</w:t>
            </w:r>
          </w:p>
        </w:tc>
        <w:tc>
          <w:tcPr/>
          <w:p>
            <w:pPr>
              <w:pStyle w:val="Compact"/>
            </w:pPr>
            <w:r>
              <w:t xml:space="preserve">$6,250</w:t>
            </w:r>
          </w:p>
        </w:tc>
        <w:tc>
          <w:tcPr/>
          <w:p>
            <w:pPr>
              <w:pStyle w:val="Compact"/>
            </w:pPr>
            <w:r>
              <w:t xml:space="preserve">$75,000</w:t>
            </w:r>
          </w:p>
        </w:tc>
      </w:tr>
      <w:tr>
        <w:tc>
          <w:tcPr/>
          <w:p>
            <w:pPr>
              <w:pStyle w:val="Compact"/>
            </w:pPr>
            <w:r>
              <w:t xml:space="preserve">100 patients</w:t>
            </w:r>
          </w:p>
        </w:tc>
        <w:tc>
          <w:tcPr/>
          <w:p>
            <w:pPr>
              <w:pStyle w:val="Compact"/>
            </w:pPr>
            <w:r>
              <w:t xml:space="preserve">$12,500</w:t>
            </w:r>
          </w:p>
        </w:tc>
        <w:tc>
          <w:tcPr/>
          <w:p>
            <w:pPr>
              <w:pStyle w:val="Compact"/>
            </w:pPr>
            <w:r>
              <w:t xml:space="preserve">$150,000</w:t>
            </w:r>
          </w:p>
        </w:tc>
      </w:tr>
    </w:tbl>
    <w:p>
      <w:pPr>
        <w:pStyle w:val="BodyText"/>
      </w:pPr>
      <w:r>
        <w:t xml:space="preserve">The commercial unit is $8,950, with payback in under three months at just 25 patients on the modality. Take-home units add about $600 per device to your shop, a second margin line on top of the in-clinic recurring revenue.</w:t>
      </w:r>
    </w:p>
    <w:p>
      <w:r>
        <w:pict>
          <v:rect style="width:0;height:1.5pt" o:hralign="center" o:hrstd="t" o:hr="t"/>
        </w:pict>
      </w:r>
    </w:p>
    <w:p>
      <w:pPr>
        <w:pStyle w:val="FirstParagraph"/>
      </w:pPr>
      <w:r>
        <w:rPr>
          <w:b/>
          <w:bCs/>
        </w:rPr>
        <w:t xml:space="preserve">A note on claims.</w:t>
      </w:r>
      <w:r>
        <w:t xml:space="preserve"> </w:t>
      </w:r>
      <w:r>
        <w:t xml:space="preserve">Enyrgy is a wellness device and makes no medical claims. It raises and documents Vitamin D levels; every clinical conclusion belongs to your care team. The study above is our own and is small; we present it with its size attached rather than as a finding. Independent, peer reviewed research on Vitamin D status and immune function is in the companion reading list, for your clinicians to review on their own terms.</w:t>
      </w:r>
    </w:p>
    <w:p>
      <w:pPr>
        <w:pStyle w:val="BodyText"/>
      </w:pPr>
      <w:r>
        <w:rPr>
          <w:b/>
          <w:bCs/>
        </w:rPr>
        <w:t xml:space="preserve">Next step.</w:t>
      </w:r>
      <w:r>
        <w:t xml:space="preserve"> </w:t>
      </w:r>
      <w:r>
        <w:t xml:space="preserve">We bring a unit and two of our people to Irvine, set it up, and let your team try it and see both the patient side and the numbers in person. No slides, just the platform itself.</w:t>
      </w:r>
    </w:p>
    <w:p>
      <w:r>
        <w:pict>
          <v:rect style="width:0;height:1.5pt" o:hralign="center" o:hrstd="t" o:hr="t"/>
        </w:pict>
      </w:r>
    </w:p>
    <w:p>
      <w:pPr>
        <w:pStyle w:val="FirstParagraph"/>
      </w:pPr>
      <w:r>
        <w:t xml:space="preserve">Scott Hansbury, CEO and Co-Founder | enyrgy.com | CONFIDENTIAL, prepared for the Center for New Medicine</w:t>
      </w:r>
    </w:p>
    <w:p>
      <w:pPr>
        <w:pStyle w:val="BodyText"/>
      </w:pPr>
      <w:r>
        <w:rPr>
          <w:i/>
          <w:iCs/>
        </w:rPr>
        <w:t xml:space="preserve">Sunlight. Evolved.</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2026-08-27T20:51:58Z</dcterms:created>
  <dcterms:modified xsi:type="dcterms:W3CDTF">2026-08-27T20:51:58Z</dcterms:modified>
</cp:coreProperties>
</file>

<file path=docProps/custom.xml><?xml version="1.0" encoding="utf-8"?>
<Properties xmlns="http://schemas.openxmlformats.org/officeDocument/2006/custom-properties" xmlns:vt="http://schemas.openxmlformats.org/officeDocument/2006/docPropsVTypes"/>
</file>