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nyrgy-knowledge-base-shared-agent-read"/>
    <w:p>
      <w:pPr>
        <w:pStyle w:val="Heading1"/>
      </w:pPr>
      <w:r>
        <w:t xml:space="preserve">Enyrgy Knowledge Base (Shared, Agent-Read)</w:t>
      </w:r>
    </w:p>
    <w:p>
      <w:pPr>
        <w:pStyle w:val="FirstParagraph"/>
      </w:pPr>
      <w:r>
        <w:rPr>
          <w:b/>
          <w:bCs/>
        </w:rPr>
        <w:t xml:space="preserve">The single source of truth every Enyrgy Paperclip agent reads facts from. No agent may invent a number, claim, policy, price, or date. If a fact is not in here, escalate to the KB Manager rather than guess.</w:t>
      </w:r>
      <w:r>
        <w:t xml:space="preserve"> </w:t>
      </w:r>
      <w:r>
        <w:t xml:space="preserve">Grounded in Implementation Guide v3.9 (Sections 1, 14, 15, 17 to 19, 22) with the Session 8 claim correction applied. Sub-account: GtXjla7Ld1dordsTWrVy.</w:t>
      </w:r>
    </w:p>
    <w:p>
      <w:pPr>
        <w:pStyle w:val="BodyText"/>
      </w:pPr>
      <w:r>
        <w:t xml:space="preserve">No em-dashes anywhere. Peer-to-peer voice. Sunlight. Evolved.</w:t>
      </w:r>
    </w:p>
    <w:p>
      <w:r>
        <w:pict>
          <v:rect style="width:0;height:1.5pt" o:hralign="center" o:hrstd="t" o:hr="t"/>
        </w:pict>
      </w:r>
    </w:p>
    <w:bookmarkStart w:id="9" w:name="company-snapshot"/>
    <w:p>
      <w:pPr>
        <w:pStyle w:val="Heading2"/>
      </w:pPr>
      <w:r>
        <w:t xml:space="preserve">1. Company snapshot</w:t>
      </w:r>
    </w:p>
    <w:p>
      <w:pPr>
        <w:pStyle w:val="FirstParagraph"/>
      </w:pPr>
      <w:r>
        <w:t xml:space="preserve">Enyrgy is a health-technology company that developed the Enyrgy Vitamin D Primal Light Platform, an intelligent precision phototherapy platform. Mission: restore the body’s natural ability to respond to sunlight with precision, safety, and measurable benefit.</w:t>
      </w:r>
    </w:p>
    <w:p>
      <w:pPr>
        <w:pStyle w:val="Compact"/>
        <w:numPr>
          <w:ilvl w:val="0"/>
          <w:numId w:val="1001"/>
        </w:numPr>
      </w:pPr>
      <w:r>
        <w:t xml:space="preserve">Users: 600+ (organic growth, zero paid advertising to date).</w:t>
      </w:r>
      <w:r>
        <w:t xml:space="preserve"> </w:t>
      </w:r>
      <w:r>
        <w:rPr>
          <w:b/>
          <w:bCs/>
        </w:rPr>
        <w:t xml:space="preserve">Say users, not customers.</w:t>
      </w:r>
      <w:r>
        <w:t xml:space="preserve"> </w:t>
      </w:r>
      <w:r>
        <w:t xml:space="preserve">A home unit supports up to six users, so the two are not interchangeable and</w:t>
      </w:r>
      <w:r>
        <w:t xml:space="preserve"> </w:t>
      </w:r>
      <w:r>
        <w:t xml:space="preserve">“600+ customers”</w:t>
      </w:r>
      <w:r>
        <w:t xml:space="preserve"> </w:t>
      </w:r>
      <w:r>
        <w:t xml:space="preserve">overstates unit sales. Use</w:t>
      </w:r>
      <w:r>
        <w:t xml:space="preserve"> </w:t>
      </w:r>
      <w:r>
        <w:t xml:space="preserve">“600+ users”</w:t>
      </w:r>
      <w:r>
        <w:t xml:space="preserve"> </w:t>
      </w:r>
      <w:r>
        <w:t xml:space="preserve">in all copy.</w:t>
      </w:r>
    </w:p>
    <w:p>
      <w:pPr>
        <w:pStyle w:val="Compact"/>
        <w:numPr>
          <w:ilvl w:val="0"/>
          <w:numId w:val="1001"/>
        </w:numPr>
      </w:pPr>
      <w:r>
        <w:t xml:space="preserve">Treatments completed: 25,000+ (zero burns, zero adverse events).</w:t>
      </w:r>
    </w:p>
    <w:p>
      <w:pPr>
        <w:pStyle w:val="Compact"/>
        <w:numPr>
          <w:ilvl w:val="0"/>
          <w:numId w:val="1001"/>
        </w:numPr>
      </w:pPr>
      <w:r>
        <w:t xml:space="preserve">Return rate: under 1 percent (industry average 5 to 10 percent).</w:t>
      </w:r>
    </w:p>
    <w:p>
      <w:pPr>
        <w:pStyle w:val="Compact"/>
        <w:numPr>
          <w:ilvl w:val="0"/>
          <w:numId w:val="1001"/>
        </w:numPr>
      </w:pPr>
      <w:r>
        <w:t xml:space="preserve">Countries with inbound demand: 5 (USA, UK, Canada, France, New Zealand).</w:t>
      </w:r>
    </w:p>
    <w:p>
      <w:pPr>
        <w:pStyle w:val="Compact"/>
        <w:numPr>
          <w:ilvl w:val="0"/>
          <w:numId w:val="1001"/>
        </w:numPr>
      </w:pPr>
      <w:r>
        <w:t xml:space="preserve">Red light co-use: 90 percent of customers also use red light therapy.</w:t>
      </w:r>
    </w:p>
    <w:p>
      <w:pPr>
        <w:pStyle w:val="Compact"/>
        <w:numPr>
          <w:ilvl w:val="0"/>
          <w:numId w:val="1001"/>
        </w:numPr>
      </w:pPr>
      <w:r>
        <w:t xml:space="preserve">Facility: 5115 N 27th Ave, Bld 66, Phoenix, AZ 85017. Made in USA (relocated from Scottsdale).</w:t>
      </w:r>
    </w:p>
    <w:p>
      <w:pPr>
        <w:pStyle w:val="Compact"/>
        <w:numPr>
          <w:ilvl w:val="0"/>
          <w:numId w:val="1001"/>
        </w:numPr>
      </w:pPr>
      <w:r>
        <w:t xml:space="preserve">Founders and team: Scott Hansbury (Co-founder &amp; CEO), David Letourneau (President and Co-Founder), Brian Cameron (CFO).</w:t>
      </w:r>
    </w:p>
    <w:p>
      <w:pPr>
        <w:pStyle w:val="Compact"/>
        <w:numPr>
          <w:ilvl w:val="0"/>
          <w:numId w:val="1001"/>
        </w:numPr>
      </w:pPr>
      <w:r>
        <w:t xml:space="preserve">Founder track record (verified, investor-facing): Scott Hansbury, 8 startups, 5 exits, $500M+ in value created. David Letourneau, scaled Alair Homes from 1 to 100+ locations, $750M+ in sales.</w:t>
      </w:r>
      <w:r>
        <w:t xml:space="preserve"> </w:t>
      </w:r>
      <w:r>
        <w:rPr>
          <w:b/>
          <w:bCs/>
        </w:rPr>
        <w:t xml:space="preserve">Brian Cameron, CFO, is a former securities regulator</w:t>
      </w:r>
      <w:r>
        <w:t xml:space="preserve"> </w:t>
      </w:r>
      <w:r>
        <w:t xml:space="preserve">(confirmed by Scott, 2026-08-02). That background is a meaningful trust signal in investor conversations and is the kind of credential a serious investor may verify, so use it as stated and do not embellish it.</w:t>
      </w:r>
    </w:p>
    <w:p>
      <w:pPr>
        <w:pStyle w:val="Compact"/>
        <w:numPr>
          <w:ilvl w:val="0"/>
          <w:numId w:val="1001"/>
        </w:numPr>
      </w:pPr>
      <w:r>
        <w:t xml:space="preserve">Active OEM partner: Lumanova (Luma D Light).</w:t>
      </w:r>
    </w:p>
    <w:bookmarkEnd w:id="9"/>
    <w:bookmarkStart w:id="10" w:name="product-the-triple-pathway-advantage"/>
    <w:p>
      <w:pPr>
        <w:pStyle w:val="Heading2"/>
      </w:pPr>
      <w:r>
        <w:t xml:space="preserve">2. Product: the Triple-Pathway Advantage</w:t>
      </w:r>
    </w:p>
    <w:p>
      <w:pPr>
        <w:pStyle w:val="FirstParagraph"/>
      </w:pPr>
      <w:r>
        <w:t xml:space="preserve">Product name on first reference:</w:t>
      </w:r>
      <w:r>
        <w:t xml:space="preserve"> </w:t>
      </w:r>
      <w:r>
        <w:rPr>
          <w:b/>
          <w:bCs/>
        </w:rPr>
        <w:t xml:space="preserve">Enyrgy Vitamin D Primal Light Platform</w:t>
      </w:r>
      <w:r>
        <w:t xml:space="preserve">. Deprecated names, never use:</w:t>
      </w:r>
      <w:r>
        <w:t xml:space="preserve"> </w:t>
      </w:r>
      <w:r>
        <w:t xml:space="preserve">“Precision Vitamin D Wellness Platform,”</w:t>
      </w:r>
      <w:r>
        <w:t xml:space="preserve"> </w:t>
      </w:r>
      <w:r>
        <w:t xml:space="preserve">“Primal Light Platform”</w:t>
      </w:r>
      <w:r>
        <w:t xml:space="preserve"> </w:t>
      </w:r>
      <w:r>
        <w:t xml:space="preserve">alone.</w:t>
      </w:r>
    </w:p>
    <w:p>
      <w:pPr>
        <w:pStyle w:val="Compact"/>
        <w:numPr>
          <w:ilvl w:val="0"/>
          <w:numId w:val="1002"/>
        </w:numPr>
      </w:pPr>
      <w:r>
        <w:t xml:space="preserve">Pathway 1, Vitamin D synthesis: 2.4x more efficient than sunlight. 2 to 4 minutes equals 2 to 4 hours of mid-day sun. Vitamin D synthesis requires UVB in the 280 to 315 nm band; visible-light and circadian lamps do not emit UVB and cannot trigger it.</w:t>
      </w:r>
    </w:p>
    <w:p>
      <w:pPr>
        <w:pStyle w:val="Compact"/>
        <w:numPr>
          <w:ilvl w:val="0"/>
          <w:numId w:val="1002"/>
        </w:numPr>
      </w:pPr>
      <w:r>
        <w:t xml:space="preserve">Pathway 2, Nitric Oxide release: supports cardiovascular regulation and blood pressure. Cannot be delivered orally (see the nitric oxide framing rule in section 10).</w:t>
      </w:r>
    </w:p>
    <w:p>
      <w:pPr>
        <w:pStyle w:val="Compact"/>
        <w:numPr>
          <w:ilvl w:val="0"/>
          <w:numId w:val="1002"/>
        </w:numPr>
      </w:pPr>
      <w:r>
        <w:t xml:space="preserve">Pathway 3, Serotonin production: sleep, mood, and cognitive function. Users report improvements within weeks. Sleep mechanism (educational framing only): serotonin made from daytime light is the precursor the body converts to melatonin, the hormone that regulates the sleep cycle; less daytime light means less of that upstream chemistry. Present this as how the biology works, not as a promise the device improves sleep (wellness device, no medical claims).</w:t>
      </w:r>
    </w:p>
    <w:p>
      <w:pPr>
        <w:pStyle w:val="FirstParagraph"/>
      </w:pPr>
      <w:r>
        <w:t xml:space="preserve">Sunlight photochemistry (grounds the</w:t>
      </w:r>
      <w:r>
        <w:t xml:space="preserve"> </w:t>
      </w:r>
      <w:r>
        <w:t xml:space="preserve">“light does five”</w:t>
      </w:r>
      <w:r>
        <w:t xml:space="preserve"> </w:t>
      </w:r>
      <w:r>
        <w:t xml:space="preserve">framing): light on skin produces more than vitamin D3. The parallel outputs are vitamin D3, vitamin D3 sulfate, photoproducts (for example lumisterol and tachysterol), nitric oxide (UVA photorelease), and serotonin (daytime light). These are parallel outputs of one exposure, not a linear chain; nitric oxide and serotonin are separate light pathways, not downstream products of vitamin D. Copy may say sunlight or light produces five outputs. Enyrgy’s marketed, benefit-substantiated pathways remain the three of the Triple-Pathway Advantage (vitamin D, nitric oxide, serotonin); do not claim specific health benefits for vitamin D sulfate or photoproducts beyond noting they are additional things sunlight makes. A statement about what light does (five outputs) is fine; a claim that the device delivers five distinct benefits is not. Rule of thumb for all copy: when describing what sunlight or light does, say five outputs; when describing what Enyrgy delivers, say the three Triple-Pathway pathways.</w:t>
      </w:r>
    </w:p>
    <w:p>
      <w:pPr>
        <w:pStyle w:val="BodyText"/>
      </w:pPr>
      <w:r>
        <w:t xml:space="preserve">Sales anchor: nothing else delivers all three in 2 to 4 minutes with a dose calibrated to the individual and an automatic cutoff. Supplements deliver Vitamin D only. Sunlight needs about 60x more time plus cancer risk. Red light is a different mechanism entirely (90 percent of Enyrgy customers use both). Enyrgy is a new category.</w:t>
      </w:r>
      <w:r>
        <w:t xml:space="preserve"> </w:t>
      </w:r>
      <w:r>
        <w:rPr>
          <w:b/>
          <w:bCs/>
        </w:rPr>
        <w:t xml:space="preserve">Do not write the unqualified form</w:t>
      </w:r>
      <w:r>
        <w:t xml:space="preserve"> </w:t>
      </w:r>
      <w:r>
        <w:t xml:space="preserve">(</w:t>
      </w:r>
      <w:r>
        <w:t xml:space="preserve">“no other solution delivers all three”</w:t>
      </w:r>
      <w:r>
        <w:t xml:space="preserve">): a tanning bed does trigger all three pathways, badly and with no dosing control, so the unqualified claim is knockable down by one counterexample in front of the operators most likely to know it. The calibration-and-cutoff qualifier is what nothing else clears.</w:t>
      </w:r>
    </w:p>
    <w:p>
      <w:pPr>
        <w:pStyle w:val="BodyText"/>
      </w:pPr>
      <w:r>
        <w:t xml:space="preserve">Approved trademarked terms:</w:t>
      </w:r>
      <w:r>
        <w:t xml:space="preserve"> </w:t>
      </w:r>
      <w:r>
        <w:rPr>
          <w:b/>
          <w:bCs/>
        </w:rPr>
        <w:t xml:space="preserve">BioCalibrated Sunshine</w:t>
      </w:r>
      <w:r>
        <w:t xml:space="preserve"> </w:t>
      </w:r>
      <w:r>
        <w:t xml:space="preserve">(personalized-dosing and skin-type angle),</w:t>
      </w:r>
      <w:r>
        <w:t xml:space="preserve"> </w:t>
      </w:r>
      <w:r>
        <w:rPr>
          <w:b/>
          <w:bCs/>
        </w:rPr>
        <w:t xml:space="preserve">Triple-Pathway Advantage</w:t>
      </w:r>
      <w:r>
        <w:t xml:space="preserve">.</w:t>
      </w:r>
    </w:p>
    <w:bookmarkEnd w:id="10"/>
    <w:bookmarkStart w:id="11" w:name="pricing-and-unit-economics"/>
    <w:p>
      <w:pPr>
        <w:pStyle w:val="Heading2"/>
      </w:pPr>
      <w:r>
        <w:t xml:space="preserve">3. Pricing and unit economics</w:t>
      </w:r>
    </w:p>
    <w:p>
      <w:pPr>
        <w:pStyle w:val="Compact"/>
        <w:numPr>
          <w:ilvl w:val="0"/>
          <w:numId w:val="1003"/>
        </w:numPr>
      </w:pPr>
      <w:r>
        <w:t xml:space="preserve">Consumer Unit MSRP: $2,995 (gross margin 66 percent). Primary revenue driver, direct to consumer.</w:t>
      </w:r>
    </w:p>
    <w:p>
      <w:pPr>
        <w:pStyle w:val="Compact"/>
        <w:numPr>
          <w:ilvl w:val="0"/>
          <w:numId w:val="1003"/>
        </w:numPr>
      </w:pPr>
      <w:r>
        <w:t xml:space="preserve">Commercial Unit MSRP: $8,950 (gross margin 78 percent). B2B wellness, growing.</w:t>
      </w:r>
    </w:p>
    <w:p>
      <w:pPr>
        <w:pStyle w:val="Compact"/>
        <w:numPr>
          <w:ilvl w:val="0"/>
          <w:numId w:val="1003"/>
        </w:numPr>
      </w:pPr>
      <w:r>
        <w:t xml:space="preserve">Per-session cost: $2.30 (5 sessions per week over 5 years, roughly 1,300 sessions).</w:t>
      </w:r>
    </w:p>
    <w:p>
      <w:pPr>
        <w:pStyle w:val="Compact"/>
        <w:numPr>
          <w:ilvl w:val="0"/>
          <w:numId w:val="1003"/>
        </w:numPr>
      </w:pPr>
      <w:r>
        <w:t xml:space="preserve">Referral: $150 off for the referee, $100 credit for the referrer (used in WF-07).</w:t>
      </w:r>
      <w:r>
        <w:t xml:space="preserve"> </w:t>
      </w:r>
      <w:r>
        <w:rPr>
          <w:b/>
          <w:bCs/>
        </w:rPr>
        <w:t xml:space="preserve">Operated manually today:</w:t>
      </w:r>
      <w:r>
        <w:t xml:space="preserve"> </w:t>
      </w:r>
      <w:r>
        <w:t xml:space="preserve">a customer requests it and a custom Shopify discount code specific to that user is created by hand. Automation waits on the built-in loyalty program in the next app version, but the offer itself is live and can be quoted.</w:t>
      </w:r>
    </w:p>
    <w:p>
      <w:pPr>
        <w:pStyle w:val="Compact"/>
        <w:numPr>
          <w:ilvl w:val="0"/>
          <w:numId w:val="1003"/>
        </w:numPr>
      </w:pPr>
      <w:r>
        <w:t xml:space="preserve">Monitored inbound address:</w:t>
      </w:r>
      <w:r>
        <w:t xml:space="preserve"> </w:t>
      </w:r>
      <w:r>
        <w:rPr>
          <w:b/>
          <w:bCs/>
        </w:rPr>
        <w:t xml:space="preserve">contact@enyrgy.com</w:t>
      </w:r>
      <w:r>
        <w:t xml:space="preserve">, used across the funnel and monitored. Safe to give out.</w:t>
      </w:r>
    </w:p>
    <w:p>
      <w:pPr>
        <w:pStyle w:val="Compact"/>
        <w:numPr>
          <w:ilvl w:val="0"/>
          <w:numId w:val="1003"/>
        </w:numPr>
      </w:pPr>
      <w:r>
        <w:t xml:space="preserve">Guarantee: 30-day money-back guarantee on the Consumer Unit. If it is not for you, return it within 30 days (return rate is under 1 percent, see Section 4).</w:t>
      </w:r>
    </w:p>
    <w:p>
      <w:pPr>
        <w:pStyle w:val="Compact"/>
        <w:numPr>
          <w:ilvl w:val="0"/>
          <w:numId w:val="1003"/>
        </w:numPr>
      </w:pPr>
      <w:r>
        <w:t xml:space="preserve">Payment options: the Consumer Unit can be paid in full, financed, rented monthly, or purchased with HSA/FSA funds through Truemed, so it can fit a monthly budget instead of a lump sum. Financing and rental are both real, offered options; specific rates and terms are not yet in the KB, so confirm with the KB Manager before quoting any figure.</w:t>
      </w:r>
      <w:r>
        <w:t xml:space="preserve"> </w:t>
      </w:r>
      <w:r>
        <w:rPr>
          <w:b/>
          <w:bCs/>
        </w:rPr>
        <w:t xml:space="preserve">HSA/FSA (approved August 2026):</w:t>
      </w:r>
      <w:r>
        <w:t xml:space="preserve"> </w:t>
      </w:r>
      <w:r>
        <w:t xml:space="preserve">the only authorized phrasing is</w:t>
      </w:r>
      <w:r>
        <w:t xml:space="preserve"> </w:t>
      </w:r>
      <w:r>
        <w:t xml:space="preserve">“HSA/FSA eligible through Truemed”</w:t>
      </w:r>
      <w:r>
        <w:t xml:space="preserve">. Never explain eligibility in condition-or-treatment terms and never describe the Letter of Medical Necessity — that framing is prohibited regardless of what Truemed’s own copy blocks say.</w:t>
      </w:r>
      <w:r>
        <w:t xml:space="preserve"> </w:t>
      </w:r>
      <w:r>
        <w:rPr>
          <w:b/>
          <w:bCs/>
        </w:rPr>
        <w:t xml:space="preserve">Eligibility covers the Consumer Unit only. The wall mount is excluded</w:t>
      </w:r>
      <w:r>
        <w:t xml:space="preserve">, so never imply cart-wide eligibility. The commercial unit is out of scope entirely: a facility purchase is a business expense, not a personal medical one.</w:t>
      </w:r>
      <w:r>
        <w:t xml:space="preserve"> </w:t>
      </w:r>
      <w:r>
        <w:rPr>
          <w:b/>
          <w:bCs/>
        </w:rPr>
        <w:t xml:space="preserve">Facility and commercial, confirmed by Truemed August 2026. The test is who the buyer of record is:</w:t>
      </w:r>
    </w:p>
    <w:p>
      <w:pPr>
        <w:pStyle w:val="Compact"/>
        <w:numPr>
          <w:ilvl w:val="1"/>
          <w:numId w:val="1004"/>
        </w:numPr>
      </w:pPr>
      <w:r>
        <w:rPr>
          <w:b/>
          <w:bCs/>
        </w:rPr>
        <w:t xml:space="preserve">NOT eligible:</w:t>
      </w:r>
      <w:r>
        <w:t xml:space="preserve"> </w:t>
      </w:r>
      <w:r>
        <w:t xml:space="preserve">a facility buying units for its business, and any membership or session fees that include Enyrgy access. Those are business expenses, or a membership, not a personal medical purchase. This is what Truemed ruled out.</w:t>
      </w:r>
    </w:p>
    <w:p>
      <w:pPr>
        <w:pStyle w:val="Compact"/>
        <w:numPr>
          <w:ilvl w:val="1"/>
          <w:numId w:val="1004"/>
        </w:numPr>
      </w:pPr>
      <w:r>
        <w:rPr>
          <w:b/>
          <w:bCs/>
        </w:rPr>
        <w:t xml:space="preserve">ELIGIBLE:</w:t>
      </w:r>
      <w:r>
        <w:t xml:space="preserve"> </w:t>
      </w:r>
      <w:r>
        <w:t xml:space="preserve">an individual buying their own Consumer Unit directly at</w:t>
      </w:r>
      <w:r>
        <w:t xml:space="preserve"> </w:t>
      </w:r>
      <w:r>
        <w:rPr>
          <w:rStyle w:val="VerbatimChar"/>
        </w:rPr>
        <w:t xml:space="preserve">shop.enyrgy.com</w:t>
      </w:r>
      <w:r>
        <w:t xml:space="preserve">,</w:t>
      </w:r>
      <w:r>
        <w:t xml:space="preserve"> </w:t>
      </w:r>
      <w:r>
        <w:rPr>
          <w:b/>
          <w:bCs/>
        </w:rPr>
        <w:t xml:space="preserve">including when they arrive through a facility’s unique referral link</w:t>
      </w:r>
      <w:r>
        <w:t xml:space="preserve">. The facility earns commission on that sale but is not the purchaser; the transaction is consumer to Enyrgy, which makes it the same direct consumer purchase as any other order. A facility may tell its members this.</w:t>
      </w:r>
    </w:p>
    <w:p>
      <w:pPr>
        <w:pStyle w:val="Compact"/>
        <w:numPr>
          <w:ilvl w:val="1"/>
          <w:numId w:val="1004"/>
        </w:numPr>
      </w:pPr>
      <w:r>
        <w:t xml:space="preserve">Never suggest routing a facility’s own purchase through an individual to obtain eligibility. The distinction is whose purchase it is, not which link was used.</w:t>
      </w:r>
    </w:p>
    <w:p>
      <w:pPr>
        <w:pStyle w:val="Compact"/>
        <w:numPr>
          <w:ilvl w:val="0"/>
          <w:numId w:val="1003"/>
        </w:numPr>
      </w:pPr>
      <w:r>
        <w:t xml:space="preserve">Commercial unit footprint: the device requires approximately</w:t>
      </w:r>
      <w:r>
        <w:t xml:space="preserve"> </w:t>
      </w:r>
      <w:r>
        <w:rPr>
          <w:b/>
          <w:bCs/>
        </w:rPr>
        <w:t xml:space="preserve">4 feet by 4 feet of floor space</w:t>
      </w:r>
      <w:r>
        <w:t xml:space="preserve">. Space is usually the first practical objection a facility raises, so answer it directly. It does not need a dedicated room; facilities commonly site it in a hallway or an alcove where clients can take a session while waiting on another modality.</w:t>
      </w:r>
    </w:p>
    <w:p>
      <w:pPr>
        <w:pStyle w:val="Compact"/>
        <w:numPr>
          <w:ilvl w:val="0"/>
          <w:numId w:val="1003"/>
        </w:numPr>
      </w:pPr>
      <w:r>
        <w:t xml:space="preserve">Manufacturing and lead times: units are built in Phoenix in limited batches, which is why consumer copy refers to limited batches and to ship times running a few weeks.</w:t>
      </w:r>
      <w:r>
        <w:t xml:space="preserve"> </w:t>
      </w:r>
      <w:r>
        <w:rPr>
          <w:b/>
          <w:bCs/>
        </w:rPr>
        <w:t xml:space="preserve">Never quote a batch size or a specific lead time.</w:t>
      </w:r>
      <w:r>
        <w:t xml:space="preserve"> </w:t>
      </w:r>
      <w:r>
        <w:t xml:space="preserve">Both move with funding and production capacity, so any figure written down would keep being stated confidently after it stopped being true.</w:t>
      </w:r>
      <w:r>
        <w:t xml:space="preserve"> </w:t>
      </w:r>
      <w:r>
        <w:t xml:space="preserve">“Limited batches”</w:t>
      </w:r>
      <w:r>
        <w:t xml:space="preserve"> </w:t>
      </w:r>
      <w:r>
        <w:t xml:space="preserve">holds at any batch size and is the approved phrasing. Escalate lead-time questions to Scott.</w:t>
      </w:r>
    </w:p>
    <w:p>
      <w:pPr>
        <w:pStyle w:val="Compact"/>
        <w:numPr>
          <w:ilvl w:val="0"/>
          <w:numId w:val="1003"/>
        </w:numPr>
      </w:pPr>
      <w:r>
        <w:t xml:space="preserve">OEM white-label (Lumanova / Luma D Light): same MSRP, wholesale arrangement.</w:t>
      </w:r>
    </w:p>
    <w:p>
      <w:pPr>
        <w:pStyle w:val="Compact"/>
        <w:numPr>
          <w:ilvl w:val="0"/>
          <w:numId w:val="1003"/>
        </w:numPr>
      </w:pPr>
      <w:r>
        <w:t xml:space="preserve">Order URL: https://shop.enyrgy.com/products/uvb-light-therapy. Device registration: https://api.enyrgy.com/. Discovery-call booking: https://api.leadconnectorhq.com/widget/booking/C0hV5CFHUhWOIzs4OedC. Customer Testimonial Form: https://api.leadconnectorhq.com/widget/form/OjahkWeVDeozQkfG9dW2?notrack=true. Google review (GBP), live: https://g.page/r/CfN5Rj0CdmrfEAI/review. Trustpilot review: https://www.trustpilot.com/evaluate/enyrgy.com.</w:t>
      </w:r>
    </w:p>
    <w:p>
      <w:pPr>
        <w:pStyle w:val="Compact"/>
        <w:numPr>
          <w:ilvl w:val="0"/>
          <w:numId w:val="1003"/>
        </w:numPr>
      </w:pPr>
      <w:r>
        <w:t xml:space="preserve">Commercial model: operators charge clients</w:t>
      </w:r>
      <w:r>
        <w:t xml:space="preserve"> </w:t>
      </w:r>
      <w:r>
        <w:rPr>
          <w:b/>
          <w:bCs/>
        </w:rPr>
        <w:t xml:space="preserve">$49 to $125 per month</w:t>
      </w:r>
      <w:r>
        <w:t xml:space="preserve"> </w:t>
      </w:r>
      <w:r>
        <w:t xml:space="preserve">for Enyrgy access.</w:t>
      </w:r>
      <w:r>
        <w:t xml:space="preserve"> </w:t>
      </w:r>
      <w:r>
        <w:rPr>
          <w:b/>
          <w:bCs/>
        </w:rPr>
        <w:t xml:space="preserve">The rate depends on location and local clientele</w:t>
      </w:r>
      <w:r>
        <w:t xml:space="preserve">, so quote the end of the range that matches the market rather than a single number. Standard markets support $49 to $75. Premium metro markets with affluent clientele support up to $125 (Orange County, California is a $125 market; the Center for New Medicine and Beyond Wellness in Costa Mesa are the reference points). Revenue scales with active client count:</w:t>
      </w:r>
    </w:p>
    <w:p>
      <w:pPr>
        <w:pStyle w:val="Compact"/>
        <w:numPr>
          <w:ilvl w:val="1"/>
          <w:numId w:val="1005"/>
        </w:numPr>
      </w:pPr>
      <w:r>
        <w:t xml:space="preserve">At $49 per month: 25 clients is $1,225 per month ($14,700 per year); 50 clients is $2,450 per month ($29,400 per year); 100 clients is $4,900 per month ($58,800 per year). Against the $8,950 unit cost, payback at 50 clients is under 4 months.</w:t>
      </w:r>
    </w:p>
    <w:p>
      <w:pPr>
        <w:pStyle w:val="Compact"/>
        <w:numPr>
          <w:ilvl w:val="1"/>
          <w:numId w:val="1005"/>
        </w:numPr>
      </w:pPr>
      <w:r>
        <w:t xml:space="preserve">At $125 per month: 25 clients is $3,125 per month ($37,500 per year); 50 clients is $6,250 per month ($75,000 per year); 100 clients is $12,500 per month ($150,000 per year). Payback at 50 clients is about 6 weeks.</w:t>
      </w:r>
    </w:p>
    <w:p>
      <w:pPr>
        <w:pStyle w:val="Compact"/>
        <w:numPr>
          <w:ilvl w:val="0"/>
          <w:numId w:val="1003"/>
        </w:numPr>
      </w:pPr>
      <w:r>
        <w:t xml:space="preserve">Commercial delivery model: the market is moving away from per-modality add-on pricing toward</w:t>
      </w:r>
      <w:r>
        <w:t xml:space="preserve"> </w:t>
      </w:r>
      <w:r>
        <w:rPr>
          <w:b/>
          <w:bCs/>
        </w:rPr>
        <w:t xml:space="preserve">membership models</w:t>
      </w:r>
      <w:r>
        <w:t xml:space="preserve">. Enyrgy fits that shift and operators position it two ways: as a draw to bring in new members, and as an incentive to upgrade existing members into a higher tier. Where a facility runs</w:t>
      </w:r>
      <w:r>
        <w:t xml:space="preserve"> </w:t>
      </w:r>
      <w:r>
        <w:rPr>
          <w:b/>
          <w:bCs/>
        </w:rPr>
        <w:t xml:space="preserve">credit-based memberships</w:t>
      </w:r>
      <w:r>
        <w:t xml:space="preserve"> </w:t>
      </w:r>
      <w:r>
        <w:t xml:space="preserve">(members prepay for service credits), do NOT let Enyrgy be priced per session against credits: at 4 to 5 sessions a week the credit draw would consume an entire membership and crowd out the operator’s higher-margin services. Price it as a flat monthly add-on that sits outside credits, or include it in a top tier as the upgrade trigger. Enyrgy’s advantage in any membership model is that its marginal cost per session is near zero (no consumables, no practitioner, 2 to 4 minutes, app-run), unlike IV, NAD+, or practitioner-delivered services.</w:t>
      </w:r>
    </w:p>
    <w:bookmarkEnd w:id="11"/>
    <w:bookmarkStart w:id="13" w:name="clinical-and-credibility-data"/>
    <w:p>
      <w:pPr>
        <w:pStyle w:val="Heading2"/>
      </w:pPr>
      <w:r>
        <w:t xml:space="preserve">4. Clinical and credibility data</w:t>
      </w:r>
    </w:p>
    <w:p>
      <w:pPr>
        <w:pStyle w:val="Compact"/>
        <w:numPr>
          <w:ilvl w:val="0"/>
          <w:numId w:val="1006"/>
        </w:numPr>
      </w:pPr>
      <w:r>
        <w:t xml:space="preserve">Clinical study result: 12-week study; average Vitamin D increase of 111 percent (participants went from an average of 39.96 ng/mL to 84.20 ng/mL); 100 percent of participants reached optimal Vitamin D levels.</w:t>
      </w:r>
    </w:p>
    <w:p>
      <w:pPr>
        <w:pStyle w:val="Compact"/>
        <w:numPr>
          <w:ilvl w:val="0"/>
          <w:numId w:val="1006"/>
        </w:numPr>
      </w:pPr>
      <w:r>
        <w:t xml:space="preserve">Clinical study design and limitations (always cite results with this context): small study, N = 5 healthy adults, 4 to 6 sessions per week, 12 weeks, no control group. Larger trials are in development. When citing the 111 percent or 100-percent-optimal figures, present them as a small uncontrolled study, not as a large or controlled trial.</w:t>
      </w:r>
    </w:p>
    <w:p>
      <w:pPr>
        <w:pStyle w:val="Compact"/>
        <w:numPr>
          <w:ilvl w:val="0"/>
          <w:numId w:val="1006"/>
        </w:numPr>
      </w:pPr>
      <w:r>
        <w:rPr>
          <w:b/>
          <w:bCs/>
        </w:rPr>
        <w:t xml:space="preserve">Never call it a pilot.</w:t>
      </w:r>
      <w:r>
        <w:t xml:space="preserve"> </w:t>
      </w:r>
      <w:r>
        <w:t xml:space="preserve">Use study, small study, or observational cohort.</w:t>
      </w:r>
      <w:r>
        <w:t xml:space="preserve"> </w:t>
      </w:r>
      <w:r>
        <w:t xml:space="preserve">“Pilot”</w:t>
      </w:r>
      <w:r>
        <w:t xml:space="preserve"> </w:t>
      </w:r>
      <w:r>
        <w:t xml:space="preserve">implies a pre-launch or beta program, and this study ran months after Enyrgy went to full production in the market. The word understates the product’s maturity while doing nothing to improve the honesty of the caveat, which</w:t>
      </w:r>
      <w:r>
        <w:t xml:space="preserve"> </w:t>
      </w:r>
      <w:r>
        <w:t xml:space="preserve">“small, N = 5, no control group”</w:t>
      </w:r>
      <w:r>
        <w:t xml:space="preserve"> </w:t>
      </w:r>
      <w:r>
        <w:t xml:space="preserve">already carries in full.</w:t>
      </w:r>
    </w:p>
    <w:p>
      <w:pPr>
        <w:pStyle w:val="Compact"/>
        <w:numPr>
          <w:ilvl w:val="0"/>
          <w:numId w:val="1006"/>
        </w:numPr>
      </w:pPr>
      <w:r>
        <w:rPr>
          <w:b/>
          <w:bCs/>
        </w:rPr>
        <w:t xml:space="preserve">Write</w:t>
      </w:r>
      <w:r>
        <w:rPr>
          <w:b/>
          <w:bCs/>
        </w:rPr>
        <w:t xml:space="preserve"> </w:t>
      </w:r>
      <w:r>
        <w:rPr>
          <w:b/>
          <w:bCs/>
        </w:rPr>
        <w:t xml:space="preserve">“the five participants,”</w:t>
      </w:r>
      <w:r>
        <w:rPr>
          <w:b/>
          <w:bCs/>
        </w:rPr>
        <w:t xml:space="preserve"> </w:t>
      </w:r>
      <w:r>
        <w:rPr>
          <w:b/>
          <w:bCs/>
        </w:rPr>
        <w:t xml:space="preserve">not</w:t>
      </w:r>
      <w:r>
        <w:rPr>
          <w:b/>
          <w:bCs/>
        </w:rPr>
        <w:t xml:space="preserve"> </w:t>
      </w:r>
      <w:r>
        <w:rPr>
          <w:b/>
          <w:bCs/>
        </w:rPr>
        <w:t xml:space="preserve">“five participants.”</w:t>
      </w:r>
      <w:r>
        <w:t xml:space="preserve"> </w:t>
      </w:r>
      <w:r>
        <w:t xml:space="preserve">Without the article the sentence reads as though a larger cohort was studied and only five of them responded.</w:t>
      </w:r>
    </w:p>
    <w:p>
      <w:pPr>
        <w:pStyle w:val="Compact"/>
        <w:numPr>
          <w:ilvl w:val="0"/>
          <w:numId w:val="1006"/>
        </w:numPr>
      </w:pPr>
      <w:r>
        <w:t xml:space="preserve">Participant-level results (12-week study, about 5 sessions per week, skin types II to IV): P1 (Skin Type II) 38.4 to 86.0; P2 (III) 34.0 to 88.4; P3 (III) 37.0 to 78.0; P4 (IV) 47.0 to 88.7; P5 (III) 43.4 to 79.9 ng/mL. These reconcile to the reported averages (start 39.96, end 84.20). All started insufficient or borderline, all reached optimal, zero dropouts. Present with the same N = 5 caveat as the averages.</w:t>
      </w:r>
    </w:p>
    <w:p>
      <w:pPr>
        <w:pStyle w:val="Compact"/>
        <w:numPr>
          <w:ilvl w:val="0"/>
          <w:numId w:val="1006"/>
        </w:numPr>
      </w:pPr>
      <w:r>
        <w:t xml:space="preserve">Efficiency: 2.4x more efficient than sunlight for Vitamin D synthesis; 2 to 4 minutes equals 2 to 4 hours of mid-day sun (about 60x).</w:t>
      </w:r>
    </w:p>
    <w:p>
      <w:pPr>
        <w:pStyle w:val="Compact"/>
        <w:numPr>
          <w:ilvl w:val="0"/>
          <w:numId w:val="1006"/>
        </w:numPr>
      </w:pPr>
      <w:r>
        <w:t xml:space="preserve">Safety: 25,000+ sessions with zero burns and zero adverse events. The device emits over 90 percent UVB and under 10 percent UVA, the opposite of sunlight (about 95 percent UVA). The app calculates each user’s personal MED by skin type and shuts off automatically. Each session runs 2 to 4 minutes set by skin type, and the app allows a maximum of one session per day (it prevents more than one), so</w:t>
      </w:r>
      <w:r>
        <w:t xml:space="preserve"> </w:t>
      </w:r>
      <w:r>
        <w:t xml:space="preserve">“2 to 4 minutes a day”</w:t>
      </w:r>
      <w:r>
        <w:t xml:space="preserve"> </w:t>
      </w:r>
      <w:r>
        <w:t xml:space="preserve">is accurate.</w:t>
      </w:r>
    </w:p>
    <w:p>
      <w:pPr>
        <w:pStyle w:val="Compact"/>
        <w:numPr>
          <w:ilvl w:val="0"/>
          <w:numId w:val="1006"/>
        </w:numPr>
      </w:pPr>
      <w:r>
        <w:t xml:space="preserve">Return rate under 1 percent, roughly 5 to 10x better than the industry average.</w:t>
      </w:r>
    </w:p>
    <w:bookmarkStart w:id="12" w:name="X348ceaeaf7c4d682e7f80c59634d85e8a3d0daf"/>
    <w:p>
      <w:pPr>
        <w:pStyle w:val="Heading3"/>
      </w:pPr>
      <w:r>
        <w:t xml:space="preserve">Athlete and bone-health research (supports the Recovery Protocol and the Athlete ICP)</w:t>
      </w:r>
    </w:p>
    <w:p>
      <w:pPr>
        <w:pStyle w:val="FirstParagraph"/>
      </w:pPr>
      <w:r>
        <w:t xml:space="preserve">These are findings from the general peer-reviewed literature on UVB and natural vitamin D synthesis, NOT clinical trials of the Enyrgy device. Cite as</w:t>
      </w:r>
      <w:r>
        <w:t xml:space="preserve"> </w:t>
      </w:r>
      <w:r>
        <w:t xml:space="preserve">“research shows,”</w:t>
      </w:r>
      <w:r>
        <w:t xml:space="preserve"> </w:t>
      </w:r>
      <w:r>
        <w:t xml:space="preserve">attribute to the study, and do not claim the Enyrgy device itself was tested for these outcomes. Keep it non-medical (Enyrgy is a wellness device): describe how vitamin D supports bone and recovery; never</w:t>
      </w:r>
      <w:r>
        <w:t xml:space="preserve"> </w:t>
      </w:r>
      <w:r>
        <w:t xml:space="preserve">“treat”</w:t>
      </w:r>
      <w:r>
        <w:t xml:space="preserve">,</w:t>
      </w:r>
      <w:r>
        <w:t xml:space="preserve"> </w:t>
      </w:r>
      <w:r>
        <w:t xml:space="preserve">“heal”</w:t>
      </w:r>
      <w:r>
        <w:t xml:space="preserve">,</w:t>
      </w:r>
      <w:r>
        <w:t xml:space="preserve"> </w:t>
      </w:r>
      <w:r>
        <w:t xml:space="preserve">“cure”</w:t>
      </w:r>
      <w:r>
        <w:t xml:space="preserve">, or</w:t>
      </w:r>
      <w:r>
        <w:t xml:space="preserve"> </w:t>
      </w:r>
      <w:r>
        <w:t xml:space="preserve">“fix”</w:t>
      </w:r>
      <w:r>
        <w:t xml:space="preserve">. Do not overstate (</w:t>
      </w:r>
      <w:r>
        <w:t xml:space="preserve">“proves”</w:t>
      </w:r>
      <w:r>
        <w:t xml:space="preserve">,</w:t>
      </w:r>
      <w:r>
        <w:t xml:space="preserve"> </w:t>
      </w:r>
      <w:r>
        <w:t xml:space="preserve">“definitively superior”</w:t>
      </w:r>
      <w:r>
        <w:t xml:space="preserve">,</w:t>
      </w:r>
      <w:r>
        <w:t xml:space="preserve"> </w:t>
      </w:r>
      <w:r>
        <w:t xml:space="preserve">“conclusive”</w:t>
      </w:r>
      <w:r>
        <w:t xml:space="preserve">); the studies support the mechanism, they are not device trials. Full compilation on file (Research/Bone Health).</w:t>
      </w:r>
    </w:p>
    <w:p>
      <w:pPr>
        <w:pStyle w:val="BodyText"/>
      </w:pPr>
      <w:r>
        <w:t xml:space="preserve">Approved figures with sources:</w:t>
      </w:r>
      <w:r>
        <w:t xml:space="preserve"> </w:t>
      </w:r>
      <w:r>
        <w:t xml:space="preserve">- Bone: UVB / natural vitamin D synthesis is associated with up to 14 percent higher bone mineral density and 11 percent greater bone mechanical strength versus supplementation or controls (Morita et al., Heliyon 2020: trabecular BMD 61 vs 47 percent in controls; mechanical strength +11 percent, P=0.036).</w:t>
      </w:r>
      <w:r>
        <w:t xml:space="preserve"> </w:t>
      </w:r>
      <w:r>
        <w:t xml:space="preserve">- Performance threshold: peak neuromuscular performance is associated with 25(OH)D around 50 ng/mL (Shuler et al., Sports Health 2012).</w:t>
      </w:r>
      <w:r>
        <w:t xml:space="preserve"> </w:t>
      </w:r>
      <w:r>
        <w:t xml:space="preserve">- UVB vs pills: narrowband UVB three times per week raised vitamin D more effectively than 1600 IU per day of oral D3 in a randomized trial (Bogh et al., British Journal of Dermatology 2012).</w:t>
      </w:r>
      <w:r>
        <w:t xml:space="preserve"> </w:t>
      </w:r>
      <w:r>
        <w:t xml:space="preserve">- Source share and half-life: UVB contributes roughly 80 to 90 percent of circulating 25(OH)D (diet and supplements 10 to 20 percent), with a longer half-life, about 21 to 30 days (Owens et al., Sports Medicine 2018; Holick et al., JBMR 2007).</w:t>
      </w:r>
      <w:r>
        <w:t xml:space="preserve"> </w:t>
      </w:r>
      <w:r>
        <w:t xml:space="preserve">- Recovery: adequate vitamin D supports muscle repair and is associated with lower muscle-damage markers (creatine kinase, LDH, C-reactive protein) and less soreness after intense exercise; deficiency (under 30 ng/mL) is associated with impaired strength and slower recovery (Owens 2018; Caballero-Garcia et al., Nutrients 2021; Rojano-Ortega et al., JHND 2023).</w:t>
      </w:r>
      <w:r>
        <w:t xml:space="preserve"> </w:t>
      </w:r>
      <w:r>
        <w:t xml:space="preserve">- Fracture healing: natural vitamin D synthesis supports bone callus formation and mineralization at fracture sites (Fischer et al., ECM 2018).</w:t>
      </w:r>
      <w:r>
        <w:t xml:space="preserve"> </w:t>
      </w:r>
      <w:r>
        <w:t xml:space="preserve">- Dosing reference used in the research: roughly 10 to 15 minutes of midday sun, three times per week.</w:t>
      </w:r>
      <w:r>
        <w:t xml:space="preserve"> </w:t>
      </w:r>
      <w:r>
        <w:t xml:space="preserve">-</w:t>
      </w:r>
      <w:r>
        <w:t xml:space="preserve"> </w:t>
      </w:r>
      <w:r>
        <w:rPr>
          <w:b/>
          <w:bCs/>
        </w:rPr>
        <w:t xml:space="preserve">Prevalence, the citable number. This supersedes the previously unsourced</w:t>
      </w:r>
      <w:r>
        <w:rPr>
          <w:b/>
          <w:bCs/>
        </w:rPr>
        <w:t xml:space="preserve"> </w:t>
      </w:r>
      <w:r>
        <w:rPr>
          <w:b/>
          <w:bCs/>
        </w:rPr>
        <w:t xml:space="preserve">“77 percent”</w:t>
      </w:r>
      <w:r>
        <w:rPr>
          <w:b/>
          <w:bCs/>
        </w:rPr>
        <w:t xml:space="preserve"> </w:t>
      </w:r>
      <w:r>
        <w:rPr>
          <w:b/>
          <w:bCs/>
        </w:rPr>
        <w:t xml:space="preserve">figure.</w:t>
      </w:r>
      <w:r>
        <w:t xml:space="preserve"> </w:t>
      </w:r>
      <w:r>
        <w:t xml:space="preserve">In a 2023 pooled analysis of 308 population-based studies across 81 countries and 7.9 million participants aged 1 and over,</w:t>
      </w:r>
      <w:r>
        <w:t xml:space="preserve"> </w:t>
      </w:r>
      <w:r>
        <w:rPr>
          <w:b/>
          <w:bCs/>
        </w:rPr>
        <w:t xml:space="preserve">76.6 percent had serum 25(OH)D below 30 ng/mL</w:t>
      </w:r>
      <w:r>
        <w:t xml:space="preserve"> </w:t>
      </w:r>
      <w:r>
        <w:t xml:space="preserve">(75 nmol/L; 95% CrI 74.0 to 79.1). Also reported: 47.9 percent below 20 ng/mL and 15.7 percent below 12 ng/mL. (Cui A, Zhang T, Xiao P, Fan Z, Wang H, Zhuang Y.</w:t>
      </w:r>
      <w:r>
        <w:t xml:space="preserve"> </w:t>
      </w:r>
      <w:r>
        <w:t xml:space="preserve">“Global and regional prevalence of vitamin D deficiency in population-based studies from 2000 to 2022.”</w:t>
      </w:r>
      <w:r>
        <w:t xml:space="preserve"> </w:t>
      </w:r>
      <w:r>
        <w:rPr>
          <w:i/>
          <w:iCs/>
        </w:rPr>
        <w:t xml:space="preserve">Frontiers in Nutrition</w:t>
      </w:r>
      <w:r>
        <w:t xml:space="preserve"> </w:t>
      </w:r>
      <w:r>
        <w:t xml:space="preserve">2023; PMC10064807, free to read.)</w:t>
      </w:r>
      <w:r>
        <w:t xml:space="preserve"> </w:t>
      </w:r>
      <w:r>
        <w:rPr>
          <w:b/>
          <w:bCs/>
        </w:rPr>
        <w:t xml:space="preserve">Three rules for stating it.</w:t>
      </w:r>
      <w:r>
        <w:t xml:space="preserve"> </w:t>
      </w:r>
      <w:r>
        <w:t xml:space="preserve">(1) Below 30 ng/mL is</w:t>
      </w:r>
      <w:r>
        <w:t xml:space="preserve"> </w:t>
      </w:r>
      <w:r>
        <w:rPr>
          <w:b/>
          <w:bCs/>
        </w:rPr>
        <w:t xml:space="preserve">insufficiency or low vitamin D status</w:t>
      </w:r>
      <w:r>
        <w:t xml:space="preserve">, not universally accepted</w:t>
      </w:r>
      <w:r>
        <w:t xml:space="preserve"> </w:t>
      </w:r>
      <w:r>
        <w:t xml:space="preserve">“deficiency”</w:t>
      </w:r>
      <w:r>
        <w:t xml:space="preserve"> </w:t>
      </w:r>
      <w:r>
        <w:t xml:space="preserve">— never call 76.6 percent a deficiency rate. (2) The population is</w:t>
      </w:r>
      <w:r>
        <w:t xml:space="preserve"> </w:t>
      </w:r>
      <w:r>
        <w:rPr>
          <w:b/>
          <w:bCs/>
        </w:rPr>
        <w:t xml:space="preserve">global and aged 1 and over</w:t>
      </w:r>
      <w:r>
        <w:t xml:space="preserve">, so say</w:t>
      </w:r>
      <w:r>
        <w:t xml:space="preserve"> </w:t>
      </w:r>
      <w:r>
        <w:t xml:space="preserve">“people”</w:t>
      </w:r>
      <w:r>
        <w:t xml:space="preserve">, never</w:t>
      </w:r>
      <w:r>
        <w:t xml:space="preserve"> </w:t>
      </w:r>
      <w:r>
        <w:t xml:space="preserve">“adults”</w:t>
      </w:r>
      <w:r>
        <w:t xml:space="preserve">, never</w:t>
      </w:r>
      <w:r>
        <w:t xml:space="preserve"> </w:t>
      </w:r>
      <w:r>
        <w:t xml:space="preserve">“Americans”</w:t>
      </w:r>
      <w:r>
        <w:t xml:space="preserve">, never</w:t>
      </w:r>
      <w:r>
        <w:t xml:space="preserve"> </w:t>
      </w:r>
      <w:r>
        <w:t xml:space="preserve">“indoor”</w:t>
      </w:r>
      <w:r>
        <w:t xml:space="preserve">. (3) The authors report high heterogeneity between pooled studies; do not present the figure as a precise national rate.</w:t>
      </w:r>
      <w:r>
        <w:t xml:space="preserve"> </w:t>
      </w:r>
      <w:r>
        <w:rPr>
          <w:b/>
          <w:bCs/>
        </w:rPr>
        <w:t xml:space="preserve">Approved short forms:</w:t>
      </w:r>
      <w:r>
        <w:t xml:space="preserve"> </w:t>
      </w:r>
      <w:r>
        <w:t xml:space="preserve">“about three-quarters of people have vitamin D below 30 ng/mL”</w:t>
      </w:r>
      <w:r>
        <w:t xml:space="preserve"> </w:t>
      </w:r>
      <w:r>
        <w:t xml:space="preserve">or</w:t>
      </w:r>
      <w:r>
        <w:t xml:space="preserve"> </w:t>
      </w:r>
      <w:r>
        <w:t xml:space="preserve">“76.6 percent of people worldwide are below 30 ng/mL”</w:t>
      </w:r>
      <w:r>
        <w:t xml:space="preserve">.</w:t>
      </w:r>
      <w:r>
        <w:t xml:space="preserve"> </w:t>
      </w:r>
      <w:r>
        <w:t xml:space="preserve">-</w:t>
      </w:r>
      <w:r>
        <w:t xml:space="preserve"> </w:t>
      </w:r>
      <w:r>
        <w:rPr>
          <w:b/>
          <w:bCs/>
        </w:rPr>
        <w:t xml:space="preserve">Sunny climates do not prevent it (use this for the sun objection):</w:t>
      </w:r>
      <w:r>
        <w:t xml:space="preserve"> </w:t>
      </w:r>
      <w:r>
        <w:t xml:space="preserve">low vitamin D status is a problem even in countries with sun exposure all year round (Palacios C, Gonzalez L.</w:t>
      </w:r>
      <w:r>
        <w:t xml:space="preserve"> </w:t>
      </w:r>
      <w:r>
        <w:t xml:space="preserve">“Is vitamin D deficiency a major global public health problem?”</w:t>
      </w:r>
      <w:r>
        <w:t xml:space="preserve"> </w:t>
      </w:r>
      <w:r>
        <w:rPr>
          <w:i/>
          <w:iCs/>
        </w:rPr>
        <w:t xml:space="preserve">J Steroid Biochem Mol Biol</w:t>
      </w:r>
      <w:r>
        <w:t xml:space="preserve"> </w:t>
      </w:r>
      <w:r>
        <w:t xml:space="preserve">2014; PMC4018438, free to read). The paper’s own Highlights state it verbatim:</w:t>
      </w:r>
      <w:r>
        <w:t xml:space="preserve"> </w:t>
      </w:r>
      <w:r>
        <w:rPr>
          <w:b/>
          <w:bCs/>
        </w:rPr>
        <w:t xml:space="preserve">“Low vitamin D status is a problem even in countries with sun exposure all year round.”</w:t>
      </w:r>
      <w:r>
        <w:t xml:space="preserve"> </w:t>
      </w:r>
      <w:r>
        <w:t xml:space="preserve">Quote that line as written.</w:t>
      </w:r>
      <w:r>
        <w:t xml:space="preserve"> </w:t>
      </w:r>
      <w:r>
        <w:rPr>
          <w:b/>
          <w:bCs/>
        </w:rPr>
        <w:t xml:space="preserve">Three limits.</w:t>
      </w:r>
      <w:r>
        <w:t xml:space="preserve"> </w:t>
      </w:r>
      <w:r>
        <w:t xml:space="preserve">(1) It reports prevalence by region, age group and threshold and gives no single headline figure, so it CANNOT source the 77 percent. (2) It says nothing about UVB devices or phototherapy, so never present it as support for the platform itself, only for the problem. (3) 2014 data: fine for establishing that the phenomenon exists, not for current prevalence.</w:t>
      </w:r>
    </w:p>
    <w:bookmarkEnd w:id="12"/>
    <w:bookmarkEnd w:id="13"/>
    <w:bookmarkStart w:id="14" w:name="advisory-board"/>
    <w:p>
      <w:pPr>
        <w:pStyle w:val="Heading2"/>
      </w:pPr>
      <w:r>
        <w:t xml:space="preserve">5. Advisory board</w:t>
      </w:r>
    </w:p>
    <w:p>
      <w:pPr>
        <w:pStyle w:val="FirstParagraph"/>
      </w:pPr>
      <w:r>
        <w:t xml:space="preserve">Scientific Advisory Board, approved bios (use as written; do not embellish beyond these):</w:t>
      </w:r>
    </w:p>
    <w:p>
      <w:pPr>
        <w:pStyle w:val="Compact"/>
        <w:numPr>
          <w:ilvl w:val="0"/>
          <w:numId w:val="1007"/>
        </w:numPr>
      </w:pPr>
      <w:r>
        <w:rPr>
          <w:b/>
          <w:bCs/>
        </w:rPr>
        <w:t xml:space="preserve">Dr. Bruce Hollis:</w:t>
      </w:r>
      <w:r>
        <w:t xml:space="preserve"> </w:t>
      </w:r>
      <w:r>
        <w:t xml:space="preserve">over 70,000 citations, widely regarded as the Godfather of Vitamin D Research.</w:t>
      </w:r>
      <w:r>
        <w:t xml:space="preserve"> </w:t>
      </w:r>
      <w:r>
        <w:rPr>
          <w:b/>
          <w:bCs/>
        </w:rPr>
        <w:t xml:space="preserve">Over forty years on vitamin D research</w:t>
      </w:r>
      <w:r>
        <w:t xml:space="preserve">, much of it on the difference between oral supplementation and UVB-synthesized vitamin D. He has reviewed and endorsed the Enyrgy platform.</w:t>
      </w:r>
    </w:p>
    <w:p>
      <w:pPr>
        <w:pStyle w:val="Compact"/>
        <w:numPr>
          <w:ilvl w:val="0"/>
          <w:numId w:val="1007"/>
        </w:numPr>
      </w:pPr>
      <w:r>
        <w:rPr>
          <w:b/>
          <w:bCs/>
        </w:rPr>
        <w:t xml:space="preserve">Dr. Samantha Kimball:</w:t>
      </w:r>
      <w:r>
        <w:t xml:space="preserve"> </w:t>
      </w:r>
      <w:r>
        <w:t xml:space="preserve">designed the MED protocol that powers every session; a leading researcher in UV therapy safety.</w:t>
      </w:r>
      <w:r>
        <w:t xml:space="preserve"> </w:t>
      </w:r>
      <w:r>
        <w:rPr>
          <w:b/>
          <w:bCs/>
        </w:rPr>
        <w:t xml:space="preserve">Over 100 peer-reviewed papers and two decades in the field.</w:t>
      </w:r>
    </w:p>
    <w:p>
      <w:pPr>
        <w:pStyle w:val="Compact"/>
        <w:numPr>
          <w:ilvl w:val="0"/>
          <w:numId w:val="1007"/>
        </w:numPr>
      </w:pPr>
      <w:r>
        <w:rPr>
          <w:b/>
          <w:bCs/>
        </w:rPr>
        <w:t xml:space="preserve">Dr. William Grant:</w:t>
      </w:r>
      <w:r>
        <w:t xml:space="preserve"> </w:t>
      </w:r>
      <w:r>
        <w:t xml:space="preserve">NASA UVB researcher and pioneer in phototherapy science.</w:t>
      </w:r>
      <w:r>
        <w:t xml:space="preserve"> </w:t>
      </w:r>
      <w:r>
        <w:rPr>
          <w:b/>
          <w:bCs/>
        </w:rPr>
        <w:t xml:space="preserve">More than 350 peer-reviewed papers</w:t>
      </w:r>
      <w:r>
        <w:t xml:space="preserve"> </w:t>
      </w:r>
      <w:r>
        <w:t xml:space="preserve">on vitamin D, sunlight and health outcomes, using NASA UVB satellite data to map how sunlight exposure tracks with health across populations.</w:t>
      </w:r>
    </w:p>
    <w:p>
      <w:pPr>
        <w:pStyle w:val="FirstParagraph"/>
      </w:pPr>
      <w:r>
        <w:t xml:space="preserve">Do not paraphrase or embellish an advisor’s credentials beyond these approved bios. The publication and tenure figures were confirmed by Scott on 2026-08-02 and added because they were already live in WF-17 Long-Term Nurture touch 6, where the specificity is what makes the email work. Use the shorter form where space is tight; use the fuller form when the job is establishing that real researchers built the protocol. The short approved phrasing for objection handling remains</w:t>
      </w:r>
      <w:r>
        <w:t xml:space="preserve"> </w:t>
      </w:r>
      <w:r>
        <w:t xml:space="preserve">“advisory board includes Dr. Bruce Hollis.”</w:t>
      </w:r>
      <w:r>
        <w:t xml:space="preserve"> </w:t>
      </w:r>
      <w:r>
        <w:t xml:space="preserve">Compliance note: any public claim that an advisor</w:t>
      </w:r>
      <w:r>
        <w:t xml:space="preserve"> </w:t>
      </w:r>
      <w:r>
        <w:t xml:space="preserve">“reviewed and endorsed”</w:t>
      </w:r>
      <w:r>
        <w:t xml:space="preserve"> </w:t>
      </w:r>
      <w:r>
        <w:t xml:space="preserve">the platform must have the advisor’s documented consent on file, per FTC endorsement rules.</w:t>
      </w:r>
    </w:p>
    <w:bookmarkEnd w:id="14"/>
    <w:bookmarkStart w:id="15" w:name="X2416962bbe798b4d07d64a796f71649a000b8ee"/>
    <w:p>
      <w:pPr>
        <w:pStyle w:val="Heading2"/>
      </w:pPr>
      <w:r>
        <w:t xml:space="preserve">6. Approved talking points (voiced, use as written)</w:t>
      </w:r>
    </w:p>
    <w:p>
      <w:pPr>
        <w:pStyle w:val="Compact"/>
        <w:numPr>
          <w:ilvl w:val="0"/>
          <w:numId w:val="1008"/>
        </w:numPr>
      </w:pPr>
      <w:r>
        <w:t xml:space="preserve">Every human body was meant to thrive on sunlight. We just made it safe, personalized and controllable. (Standard Description, do not alter.)</w:t>
      </w:r>
    </w:p>
    <w:p>
      <w:pPr>
        <w:pStyle w:val="Compact"/>
        <w:numPr>
          <w:ilvl w:val="0"/>
          <w:numId w:val="1008"/>
        </w:numPr>
      </w:pPr>
      <w:r>
        <w:t xml:space="preserve">Get your body responding to sunlight the way it was meant to.</w:t>
      </w:r>
    </w:p>
    <w:p>
      <w:pPr>
        <w:pStyle w:val="Compact"/>
        <w:numPr>
          <w:ilvl w:val="0"/>
          <w:numId w:val="1008"/>
        </w:numPr>
      </w:pPr>
      <w:r>
        <w:t xml:space="preserve">Three biological pathways, switched on in 2 to 4 minutes.</w:t>
      </w:r>
    </w:p>
    <w:p>
      <w:pPr>
        <w:pStyle w:val="Compact"/>
        <w:numPr>
          <w:ilvl w:val="0"/>
          <w:numId w:val="1008"/>
        </w:numPr>
      </w:pPr>
      <w:r>
        <w:t xml:space="preserve">25,000+ sessions with zero adverse events.</w:t>
      </w:r>
    </w:p>
    <w:p>
      <w:pPr>
        <w:pStyle w:val="Compact"/>
        <w:numPr>
          <w:ilvl w:val="0"/>
          <w:numId w:val="1008"/>
        </w:numPr>
      </w:pPr>
      <w:r>
        <w:t xml:space="preserve">In our clinical study, 100 percent of participants reached optimal Vitamin D levels.</w:t>
      </w:r>
    </w:p>
    <w:p>
      <w:pPr>
        <w:pStyle w:val="Compact"/>
        <w:numPr>
          <w:ilvl w:val="0"/>
          <w:numId w:val="1008"/>
        </w:numPr>
      </w:pPr>
      <w:r>
        <w:t xml:space="preserve">2.4x more efficient than sunlight for Vitamin D synthesis.</w:t>
      </w:r>
    </w:p>
    <w:p>
      <w:pPr>
        <w:pStyle w:val="Compact"/>
        <w:numPr>
          <w:ilvl w:val="0"/>
          <w:numId w:val="1008"/>
        </w:numPr>
      </w:pPr>
      <w:r>
        <w:t xml:space="preserve">The app determines your skin type, sets your dose, and ends the session for you.</w:t>
      </w:r>
    </w:p>
    <w:p>
      <w:pPr>
        <w:pStyle w:val="Compact"/>
        <w:numPr>
          <w:ilvl w:val="0"/>
          <w:numId w:val="1008"/>
        </w:numPr>
      </w:pPr>
      <w:r>
        <w:t xml:space="preserve">Under 1 percent of people send it back. The industry lives at 5 to 10 percent.</w:t>
      </w:r>
    </w:p>
    <w:p>
      <w:pPr>
        <w:pStyle w:val="Compact"/>
        <w:numPr>
          <w:ilvl w:val="0"/>
          <w:numId w:val="1008"/>
        </w:numPr>
      </w:pPr>
      <w:r>
        <w:t xml:space="preserve">Built in Phoenix, Arizona. Made in USA.</w:t>
      </w:r>
    </w:p>
    <w:p>
      <w:pPr>
        <w:pStyle w:val="Compact"/>
        <w:numPr>
          <w:ilvl w:val="0"/>
          <w:numId w:val="1008"/>
        </w:numPr>
      </w:pPr>
      <w:r>
        <w:t xml:space="preserve">600+ users, 5 countries, zero paid ads.</w:t>
      </w:r>
    </w:p>
    <w:p>
      <w:pPr>
        <w:pStyle w:val="Compact"/>
        <w:numPr>
          <w:ilvl w:val="0"/>
          <w:numId w:val="1008"/>
        </w:numPr>
      </w:pPr>
      <w:r>
        <w:t xml:space="preserve">Lumanova picked our technology to launch their own light, Luma D Light.</w:t>
      </w:r>
    </w:p>
    <w:p>
      <w:pPr>
        <w:pStyle w:val="Compact"/>
        <w:numPr>
          <w:ilvl w:val="0"/>
          <w:numId w:val="1008"/>
        </w:numPr>
      </w:pPr>
      <w:r>
        <w:t xml:space="preserve">$2,995 to own it at home. $8,950 for the commercial unit.</w:t>
      </w:r>
    </w:p>
    <w:p>
      <w:pPr>
        <w:pStyle w:val="Compact"/>
        <w:numPr>
          <w:ilvl w:val="0"/>
          <w:numId w:val="1008"/>
        </w:numPr>
      </w:pPr>
      <w:r>
        <w:t xml:space="preserve">That is $2.30 a session at 5 a week over 5 years.</w:t>
      </w:r>
    </w:p>
    <w:p>
      <w:pPr>
        <w:pStyle w:val="Compact"/>
        <w:numPr>
          <w:ilvl w:val="0"/>
          <w:numId w:val="1008"/>
        </w:numPr>
      </w:pPr>
      <w:r>
        <w:t xml:space="preserve">90 percent of our customers run red light too. Different jobs, same routine.</w:t>
      </w:r>
    </w:p>
    <w:p>
      <w:pPr>
        <w:pStyle w:val="Compact"/>
        <w:numPr>
          <w:ilvl w:val="0"/>
          <w:numId w:val="1008"/>
        </w:numPr>
      </w:pPr>
      <w:r>
        <w:t xml:space="preserve">Sunlight. Evolved.</w:t>
      </w:r>
    </w:p>
    <w:bookmarkEnd w:id="15"/>
    <w:bookmarkStart w:id="16" w:name="objection-scripts-voiced"/>
    <w:p>
      <w:pPr>
        <w:pStyle w:val="Heading2"/>
      </w:pPr>
      <w:r>
        <w:t xml:space="preserve">7. Objection scripts (voiced)</w:t>
      </w:r>
    </w:p>
    <w:p>
      <w:pPr>
        <w:pStyle w:val="FirstParagraph"/>
      </w:pPr>
      <w:r>
        <w:rPr>
          <w:b/>
          <w:bCs/>
        </w:rPr>
        <w:t xml:space="preserve">Consumer</w:t>
      </w:r>
    </w:p>
    <w:p>
      <w:pPr>
        <w:pStyle w:val="Compact"/>
        <w:numPr>
          <w:ilvl w:val="0"/>
          <w:numId w:val="1009"/>
        </w:numPr>
      </w:pPr>
      <w:r>
        <w:t xml:space="preserve">Is this safe? Fair worry. Sunlight is about 95 percent UVA. We flipped it: over 90 percent UVB, under 10 percent UVA. The app determines your skin type, sets your personal dose, and ends the session for you. 25,000+ sessions in, zero burns, zero adverse events.</w:t>
      </w:r>
    </w:p>
    <w:p>
      <w:pPr>
        <w:pStyle w:val="Compact"/>
        <w:numPr>
          <w:ilvl w:val="0"/>
          <w:numId w:val="1009"/>
        </w:numPr>
      </w:pPr>
      <w:r>
        <w:t xml:space="preserve">I already take supplements. Supplements are one lane, Vitamin D, and only if your body responds to it. In research clinical trials, about one in four participants were low responders to vitamin D supplementation. Enyrgy opens all three lanes, Vitamin D, nitric oxide, and serotonin, in 2 to 4 minutes.</w:t>
      </w:r>
    </w:p>
    <w:p>
      <w:pPr>
        <w:pStyle w:val="Compact"/>
        <w:numPr>
          <w:ilvl w:val="0"/>
          <w:numId w:val="1009"/>
        </w:numPr>
      </w:pPr>
      <w:r>
        <w:t xml:space="preserve">$2,995 is a lot. It reads big until you run it per use. $2.30 a session over 5 years at 5 a week. Supplements cost $600 to $1,200 a year with no promise your body uses them. Financing is there if you want it, and under 1 percent of people return it.</w:t>
      </w:r>
    </w:p>
    <w:p>
      <w:pPr>
        <w:pStyle w:val="Compact"/>
        <w:numPr>
          <w:ilvl w:val="0"/>
          <w:numId w:val="1009"/>
        </w:numPr>
      </w:pPr>
      <w:r>
        <w:t xml:space="preserve">I will just go outside. Going outside works if you have 2 to 4 hours of mid-day sun to spare, plus the UVA aging and skin risk that rides along. Enyrgy gets you there in 2 to 4 minutes, about 60x the efficiency, without the downside.</w:t>
      </w:r>
    </w:p>
    <w:p>
      <w:pPr>
        <w:pStyle w:val="Compact"/>
        <w:numPr>
          <w:ilvl w:val="0"/>
          <w:numId w:val="1009"/>
        </w:numPr>
      </w:pPr>
      <w:r>
        <w:t xml:space="preserve">We get plenty of sun here. Fair assumption, and testing settles it faster than arguing. Indoor work, sunscreen and window glass all block UVB at any latitude. A 2014 global review in the Journal of Steroid Biochemistry and Molecular Biology concluded that low vitamin D status is a problem even in countries with sun exposure all year round.</w:t>
      </w:r>
    </w:p>
    <w:p>
      <w:pPr>
        <w:pStyle w:val="Compact"/>
        <w:numPr>
          <w:ilvl w:val="0"/>
          <w:numId w:val="1009"/>
        </w:numPr>
      </w:pPr>
      <w:r>
        <w:t xml:space="preserve">What does the FDA say? It is a wellness device, not a medical one, and we make no medical claims. The results sit on peer-reviewed science, and our advisory board includes Dr. Bruce Hollis.</w:t>
      </w:r>
    </w:p>
    <w:p>
      <w:pPr>
        <w:pStyle w:val="FirstParagraph"/>
      </w:pPr>
      <w:r>
        <w:rPr>
          <w:b/>
          <w:bCs/>
        </w:rPr>
        <w:t xml:space="preserve">Commercial</w:t>
      </w:r>
    </w:p>
    <w:p>
      <w:pPr>
        <w:pStyle w:val="Compact"/>
        <w:numPr>
          <w:ilvl w:val="0"/>
          <w:numId w:val="1010"/>
        </w:numPr>
      </w:pPr>
      <w:r>
        <w:t xml:space="preserve">We already have red light. Ninety percent of our customers use both. They do different biological jobs, so this sits alongside what you already offer instead of replacing it.</w:t>
      </w:r>
    </w:p>
    <w:p>
      <w:pPr>
        <w:pStyle w:val="Compact"/>
        <w:numPr>
          <w:ilvl w:val="0"/>
          <w:numId w:val="1010"/>
        </w:numPr>
      </w:pPr>
      <w:r>
        <w:t xml:space="preserve">Would clients pay? About three-quarters of people have vitamin D below 30 ng/mL, so the demand is already in your book. Operators are charging $49 to $125 a month for it, depending on their market and clientele.</w:t>
      </w:r>
    </w:p>
    <w:p>
      <w:pPr>
        <w:pStyle w:val="Compact"/>
        <w:numPr>
          <w:ilvl w:val="0"/>
          <w:numId w:val="1010"/>
        </w:numPr>
      </w:pPr>
      <w:r>
        <w:t xml:space="preserve">Staff training? It is included, and light. The app calculates each client’s dose and runs the session itself.</w:t>
      </w:r>
    </w:p>
    <w:p>
      <w:pPr>
        <w:pStyle w:val="FirstParagraph"/>
      </w:pPr>
      <w:r>
        <w:rPr>
          <w:b/>
          <w:bCs/>
        </w:rPr>
        <w:t xml:space="preserve">Investor</w:t>
      </w:r>
    </w:p>
    <w:p>
      <w:pPr>
        <w:pStyle w:val="Compact"/>
        <w:numPr>
          <w:ilvl w:val="0"/>
          <w:numId w:val="1011"/>
        </w:numPr>
      </w:pPr>
      <w:r>
        <w:t xml:space="preserve">Where is the equity upside? There is a conversion option at a 20 percent discount to an independent SEC valuation.</w:t>
      </w:r>
    </w:p>
    <w:p>
      <w:pPr>
        <w:pStyle w:val="Compact"/>
        <w:numPr>
          <w:ilvl w:val="0"/>
          <w:numId w:val="1011"/>
        </w:numPr>
      </w:pPr>
      <w:r>
        <w:t xml:space="preserve">Is this a crowded market? It looks crowded until you line up the mechanisms. Nobody else delivers all three pathways. We are a category of one.</w:t>
      </w:r>
    </w:p>
    <w:p>
      <w:pPr>
        <w:pStyle w:val="Compact"/>
        <w:numPr>
          <w:ilvl w:val="0"/>
          <w:numId w:val="1011"/>
        </w:numPr>
      </w:pPr>
      <w:r>
        <w:t xml:space="preserve">What is the exit? A strategic acquisition in the $100 to 150M range within 5 years. Natural buyers look like Philips, Apple Health, Peloton, AG1, or LVMH.</w:t>
      </w:r>
    </w:p>
    <w:bookmarkEnd w:id="16"/>
    <w:bookmarkStart w:id="17" w:name="claim-precision-corrected"/>
    <w:p>
      <w:pPr>
        <w:pStyle w:val="Heading2"/>
      </w:pPr>
      <w:r>
        <w:t xml:space="preserve">8. Claim precision (corrected)</w:t>
      </w:r>
    </w:p>
    <w:p>
      <w:pPr>
        <w:pStyle w:val="FirstParagraph"/>
      </w:pPr>
      <w:r>
        <w:t xml:space="preserve">The</w:t>
      </w:r>
      <w:r>
        <w:t xml:space="preserve"> </w:t>
      </w:r>
      <w:r>
        <w:t xml:space="preserve">“one in four”</w:t>
      </w:r>
      <w:r>
        <w:t xml:space="preserve"> </w:t>
      </w:r>
      <w:r>
        <w:t xml:space="preserve">statistic is about RESPONSE, not absorption. Low responders absorb the pill fine; their cells do less with it. Approved wording only:</w:t>
      </w:r>
      <w:r>
        <w:t xml:space="preserve"> </w:t>
      </w:r>
      <w:r>
        <w:rPr>
          <w:b/>
          <w:bCs/>
        </w:rPr>
        <w:t xml:space="preserve">“in research clinical trials, about one in four participants were low responders to vitamin D supplementation”</w:t>
      </w:r>
      <w:r>
        <w:t xml:space="preserve">. Do NOT write</w:t>
      </w:r>
      <w:r>
        <w:t xml:space="preserve"> </w:t>
      </w:r>
      <w:r>
        <w:t xml:space="preserve">“in these trials”</w:t>
      </w:r>
      <w:r>
        <w:t xml:space="preserve"> </w:t>
      </w:r>
      <w:r>
        <w:t xml:space="preserve">or</w:t>
      </w:r>
      <w:r>
        <w:t xml:space="preserve"> </w:t>
      </w:r>
      <w:r>
        <w:t xml:space="preserve">“in the trials”</w:t>
      </w:r>
      <w:r>
        <w:t xml:space="preserve"> </w:t>
      </w:r>
      <w:r>
        <w:t xml:space="preserve">in copy: lifted out of this KB the citation stays behind and the phrase reads as though Enyrgy ran them. Investor-facing copy may name them as the Carlberg trials. (Carlberg, VitDmet and VitDbol trials, Nutrients 2023, 15(15):3382). Never say</w:t>
      </w:r>
      <w:r>
        <w:t xml:space="preserve"> </w:t>
      </w:r>
      <w:r>
        <w:t xml:space="preserve">“one in four cannot absorb,”</w:t>
      </w:r>
      <w:r>
        <w:t xml:space="preserve"> </w:t>
      </w:r>
      <w:r>
        <w:t xml:space="preserve">“supplements fail one in four,”</w:t>
      </w:r>
      <w:r>
        <w:t xml:space="preserve"> </w:t>
      </w:r>
      <w:r>
        <w:t xml:space="preserve">or</w:t>
      </w:r>
      <w:r>
        <w:t xml:space="preserve"> </w:t>
      </w:r>
      <w:r>
        <w:t xml:space="preserve">“one in four Americans.”</w:t>
      </w:r>
      <w:r>
        <w:t xml:space="preserve"> </w:t>
      </w:r>
      <w:r>
        <w:t xml:space="preserve">This supersedes the older phrasing in Implementation Guide v3.9 Section 22 (Session 8 correction). Every claim must be exactly as verifiable as stated: no superlatives, no inflation, no unverifiable characterizations.</w:t>
      </w:r>
    </w:p>
    <w:bookmarkEnd w:id="17"/>
    <w:bookmarkStart w:id="18" w:name="brand-constants-locked"/>
    <w:p>
      <w:pPr>
        <w:pStyle w:val="Heading2"/>
      </w:pPr>
      <w:r>
        <w:t xml:space="preserve">9. Brand constants (locked)</w:t>
      </w:r>
    </w:p>
    <w:p>
      <w:pPr>
        <w:pStyle w:val="Compact"/>
        <w:numPr>
          <w:ilvl w:val="0"/>
          <w:numId w:val="1012"/>
        </w:numPr>
      </w:pPr>
      <w:r>
        <w:t xml:space="preserve">Accent: Sunrise Orange #E64C38 only. No violet, purple, or amber.</w:t>
      </w:r>
    </w:p>
    <w:p>
      <w:pPr>
        <w:pStyle w:val="Compact"/>
        <w:numPr>
          <w:ilvl w:val="0"/>
          <w:numId w:val="1012"/>
        </w:numPr>
      </w:pPr>
      <w:r>
        <w:t xml:space="preserve">Typography: Montserrat, all weights.</w:t>
      </w:r>
    </w:p>
    <w:p>
      <w:pPr>
        <w:pStyle w:val="Compact"/>
        <w:numPr>
          <w:ilvl w:val="0"/>
          <w:numId w:val="1012"/>
        </w:numPr>
      </w:pPr>
      <w:r>
        <w:t xml:space="preserve">Text: Deep Charcoal #1A1A1A. Panels: Warm Off-White #F7F4EE, Calm Beige #ECE4CF. Line #E2DBC9. Muted #6B6B66.</w:t>
      </w:r>
    </w:p>
    <w:p>
      <w:pPr>
        <w:pStyle w:val="Compact"/>
        <w:numPr>
          <w:ilvl w:val="0"/>
          <w:numId w:val="1012"/>
        </w:numPr>
      </w:pPr>
      <w:r>
        <w:t xml:space="preserve">Tagline:</w:t>
      </w:r>
      <w:r>
        <w:t xml:space="preserve"> </w:t>
      </w:r>
      <w:r>
        <w:t xml:space="preserve">“Sunlight. Evolved.”</w:t>
      </w:r>
    </w:p>
    <w:p>
      <w:pPr>
        <w:pStyle w:val="Compact"/>
        <w:numPr>
          <w:ilvl w:val="0"/>
          <w:numId w:val="1012"/>
        </w:numPr>
      </w:pPr>
      <w:r>
        <w:t xml:space="preserve">Voice: peer-to-peer, founder-to-peer. No em-dashes ever; use a comma, period, or rewrite. No icons or decorative glyphs.</w:t>
      </w:r>
    </w:p>
    <w:p>
      <w:pPr>
        <w:pStyle w:val="Compact"/>
        <w:numPr>
          <w:ilvl w:val="0"/>
          <w:numId w:val="1012"/>
        </w:numPr>
      </w:pPr>
      <w:r>
        <w:t xml:space="preserve">Age minimum for all audiences: 18.</w:t>
      </w:r>
    </w:p>
    <w:bookmarkEnd w:id="18"/>
    <w:bookmarkStart w:id="19" w:name="X29fd5ad5ba47d28e168b82835ce779321403abb"/>
    <w:p>
      <w:pPr>
        <w:pStyle w:val="Heading2"/>
      </w:pPr>
      <w:r>
        <w:t xml:space="preserve">10. Nitric oxide framing (enforce on every asset)</w:t>
      </w:r>
    </w:p>
    <w:p>
      <w:pPr>
        <w:pStyle w:val="FirstParagraph"/>
      </w:pPr>
      <w:r>
        <w:t xml:space="preserve">Supplements feed the enzymatic route (substrate to eNOS to NO). UVA triggers enzyme-independent photorelease of NO from preformed skin stores (nitrite and nitrosothiols). The light pathway is additive, one a capsule cannot open. The claim</w:t>
      </w:r>
      <w:r>
        <w:t xml:space="preserve"> </w:t>
      </w:r>
      <w:r>
        <w:t xml:space="preserve">“no supplement produces nitric oxide”</w:t>
      </w:r>
      <w:r>
        <w:t xml:space="preserve"> </w:t>
      </w:r>
      <w:r>
        <w:t xml:space="preserve">is false framing and must never be used.</w:t>
      </w:r>
    </w:p>
    <w:bookmarkEnd w:id="19"/>
    <w:bookmarkStart w:id="20" w:name="prohibited-words-compliance"/>
    <w:p>
      <w:pPr>
        <w:pStyle w:val="Heading2"/>
      </w:pPr>
      <w:r>
        <w:t xml:space="preserve">11. Prohibited words (compliance)</w:t>
      </w:r>
    </w:p>
    <w:p>
      <w:pPr>
        <w:pStyle w:val="FirstParagraph"/>
      </w:pPr>
      <w:r>
        <w:t xml:space="preserve">Never use in client-facing content: treat, cure, diagnose, disease, prescription, FDA-approved, medical treatment, heal, fix, medication, illness, clinical diagnosis, therapeutic treatment.</w:t>
      </w:r>
      <w:r>
        <w:t xml:space="preserve"> </w:t>
      </w:r>
      <w:r>
        <w:rPr>
          <w:b/>
          <w:bCs/>
        </w:rPr>
        <w:t xml:space="preserve">Enyrgy is a wellness device, not medical, and makes no medical claims.</w:t>
      </w:r>
    </w:p>
    <w:bookmarkEnd w:id="20"/>
    <w:bookmarkStart w:id="21" w:name="X3b2ee3b0312272551b8ea402502772f453681e0"/>
    <w:p>
      <w:pPr>
        <w:pStyle w:val="Heading2"/>
      </w:pPr>
      <w:r>
        <w:t xml:space="preserve">12. Attorney-confirmed compliance rule (verbatim, non-negotiable)</w:t>
      </w:r>
    </w:p>
    <w:p>
      <w:pPr>
        <w:pStyle w:val="BlockText"/>
      </w:pPr>
      <w:r>
        <w:t xml:space="preserve">The PPM may be sent to any interested investor after the intro meeting. Accreditation is NOT required before sending the PPM. Confirmed compliant per Enyrgy’s securities attorney.</w:t>
      </w:r>
    </w:p>
    <w:p>
      <w:pPr>
        <w:pStyle w:val="BlockText"/>
      </w:pPr>
      <w:r>
        <w:t xml:space="preserve">The subscription agreement and term sheet are pre-acceptance documents and may also be sent before accreditation is confirmed. Accreditation is NOT required to send them.</w:t>
      </w:r>
    </w:p>
    <w:p>
      <w:pPr>
        <w:pStyle w:val="BlockText"/>
      </w:pPr>
      <w:r>
        <w:t xml:space="preserve">Accreditation (</w:t>
      </w:r>
      <w:r>
        <w:rPr>
          <w:rStyle w:val="VerbatimChar"/>
        </w:rPr>
        <w:t xml:space="preserve">accredited_verified</w:t>
      </w:r>
      <w:r>
        <w:t xml:space="preserve"> </w:t>
      </w:r>
      <w:r>
        <w:t xml:space="preserve">= Yes) IS required only before: wire instructions, or accepting any investment (the points where funds change hands). No exceptions.</w:t>
      </w:r>
    </w:p>
    <w:p>
      <w:pPr>
        <w:pStyle w:val="FirstParagraph"/>
      </w:pPr>
      <w:r>
        <w:t xml:space="preserve">The prohibited-words scan runs before every email, SMS, and voicemail across all funnels. All investor materials must be attorney-approved before they load into the KB or GHL. The PPM is attorney-approved and may be sent after the intro meeting.</w:t>
      </w:r>
    </w:p>
    <w:bookmarkEnd w:id="21"/>
    <w:bookmarkStart w:id="22" w:name="investor-offering-details"/>
    <w:p>
      <w:pPr>
        <w:pStyle w:val="Heading2"/>
      </w:pPr>
      <w:r>
        <w:t xml:space="preserve">13. Investor offering details</w:t>
      </w:r>
    </w:p>
    <w:p>
      <w:pPr>
        <w:pStyle w:val="Compact"/>
        <w:numPr>
          <w:ilvl w:val="0"/>
          <w:numId w:val="1013"/>
        </w:numPr>
      </w:pPr>
      <w:r>
        <w:t xml:space="preserve">Structure: Private Credit, Promissory Note.</w:t>
      </w:r>
    </w:p>
    <w:p>
      <w:pPr>
        <w:pStyle w:val="Compact"/>
        <w:numPr>
          <w:ilvl w:val="0"/>
          <w:numId w:val="1013"/>
        </w:numPr>
      </w:pPr>
      <w:r>
        <w:rPr>
          <w:b/>
          <w:bCs/>
        </w:rPr>
        <w:t xml:space="preserve">Current company valuation: $10M.</w:t>
      </w:r>
      <w:r>
        <w:t xml:space="preserve"> </w:t>
      </w:r>
      <w:r>
        <w:t xml:space="preserve">This is the company’s present valuation. It is</w:t>
      </w:r>
      <w:r>
        <w:t xml:space="preserve"> </w:t>
      </w:r>
      <w:r>
        <w:rPr>
          <w:b/>
          <w:bCs/>
        </w:rPr>
        <w:t xml:space="preserve">not</w:t>
      </w:r>
      <w:r>
        <w:t xml:space="preserve"> </w:t>
      </w:r>
      <w:r>
        <w:t xml:space="preserve">the basis for the conversion discount below, which discounts from an independent SEC valuation obtained at the time of conversion. Do not present $10M as a conversion price or imply the two are the same number.</w:t>
      </w:r>
    </w:p>
    <w:p>
      <w:pPr>
        <w:pStyle w:val="Compact"/>
        <w:numPr>
          <w:ilvl w:val="0"/>
          <w:numId w:val="1013"/>
        </w:numPr>
      </w:pPr>
      <w:r>
        <w:t xml:space="preserve">Total raise: $3.5M. Minimum: $50,000. Return: 12 percent per annum. Term: 3 years.</w:t>
      </w:r>
    </w:p>
    <w:p>
      <w:pPr>
        <w:pStyle w:val="Compact"/>
        <w:numPr>
          <w:ilvl w:val="0"/>
          <w:numId w:val="1013"/>
        </w:numPr>
      </w:pPr>
      <w:r>
        <w:t xml:space="preserve">Interest paid quarterly (postponed the first 3 months).</w:t>
      </w:r>
    </w:p>
    <w:p>
      <w:pPr>
        <w:pStyle w:val="Compact"/>
        <w:numPr>
          <w:ilvl w:val="0"/>
          <w:numId w:val="1013"/>
        </w:numPr>
      </w:pPr>
      <w:r>
        <w:t xml:space="preserve">Conversion option: at investor discretion, 20 percent discount from an independent SEC valuation.</w:t>
      </w:r>
    </w:p>
    <w:p>
      <w:pPr>
        <w:pStyle w:val="Compact"/>
        <w:numPr>
          <w:ilvl w:val="0"/>
          <w:numId w:val="1013"/>
        </w:numPr>
      </w:pPr>
      <w:r>
        <w:t xml:space="preserve">Exit target: $100 to 150M in 5 years.</w:t>
      </w:r>
    </w:p>
    <w:p>
      <w:pPr>
        <w:pStyle w:val="Compact"/>
        <w:numPr>
          <w:ilvl w:val="0"/>
          <w:numId w:val="1013"/>
        </w:numPr>
      </w:pPr>
      <w:r>
        <w:t xml:space="preserve">Delivery order: PPM, subscription agreement, and term sheet may all be shared pre-acceptance (PPM after the intro meeting). Wire instructions and acceptance of any investment shared only after</w:t>
      </w:r>
      <w:r>
        <w:t xml:space="preserve"> </w:t>
      </w:r>
      <w:r>
        <w:rPr>
          <w:rStyle w:val="VerbatimChar"/>
        </w:rPr>
        <w:t xml:space="preserve">accredited_verified</w:t>
      </w:r>
      <w:r>
        <w:t xml:space="preserve"> </w:t>
      </w:r>
      <w:r>
        <w:t xml:space="preserve">= Yes is confirmed (see the rule in section 12).</w:t>
      </w:r>
    </w:p>
    <w:bookmarkEnd w:id="22"/>
    <w:bookmarkStart w:id="23" w:name="oem-partner-lumanova-luma-d-light"/>
    <w:p>
      <w:pPr>
        <w:pStyle w:val="Heading2"/>
      </w:pPr>
      <w:r>
        <w:t xml:space="preserve">14. OEM partner (Lumanova / Luma D Light)</w:t>
      </w:r>
    </w:p>
    <w:p>
      <w:pPr>
        <w:pStyle w:val="Compact"/>
        <w:numPr>
          <w:ilvl w:val="0"/>
          <w:numId w:val="1014"/>
        </w:numPr>
      </w:pPr>
      <w:r>
        <w:t xml:space="preserve">Partner: Lumanova. Product brand: Luma D Light. Pricing: same MSRP ($2,995 / $8,950).</w:t>
      </w:r>
    </w:p>
    <w:p>
      <w:pPr>
        <w:pStyle w:val="Compact"/>
        <w:numPr>
          <w:ilvl w:val="0"/>
          <w:numId w:val="1014"/>
        </w:numPr>
      </w:pPr>
      <w:r>
        <w:t xml:space="preserve">Arrangement: OEM white-label; Lumanova sells under their brand, Enyrgy manufactures. Exclusivity: Black Unit.</w:t>
      </w:r>
    </w:p>
    <w:p>
      <w:pPr>
        <w:pStyle w:val="Compact"/>
        <w:numPr>
          <w:ilvl w:val="0"/>
          <w:numId w:val="1014"/>
        </w:numPr>
      </w:pPr>
      <w:r>
        <w:t xml:space="preserve">GHL tags:</w:t>
      </w:r>
      <w:r>
        <w:t xml:space="preserve"> </w:t>
      </w:r>
      <w:r>
        <w:rPr>
          <w:rStyle w:val="VerbatimChar"/>
        </w:rPr>
        <w:t xml:space="preserve">type_partner</w:t>
      </w:r>
      <w:r>
        <w:t xml:space="preserve"> </w:t>
      </w:r>
      <w:r>
        <w:t xml:space="preserve">+</w:t>
      </w:r>
      <w:r>
        <w:t xml:space="preserve"> </w:t>
      </w:r>
      <w:r>
        <w:rPr>
          <w:rStyle w:val="VerbatimChar"/>
        </w:rPr>
        <w:t xml:space="preserve">source_oem_lumanova</w:t>
      </w:r>
      <w:r>
        <w:t xml:space="preserve"> </w:t>
      </w:r>
      <w:r>
        <w:t xml:space="preserve">+</w:t>
      </w:r>
      <w:r>
        <w:t xml:space="preserve"> </w:t>
      </w:r>
      <w:r>
        <w:rPr>
          <w:rStyle w:val="VerbatimChar"/>
        </w:rPr>
        <w:t xml:space="preserve">partnership_status active</w:t>
      </w:r>
      <w:r>
        <w:t xml:space="preserve">.</w:t>
      </w:r>
    </w:p>
    <w:p>
      <w:pPr>
        <w:pStyle w:val="Compact"/>
        <w:numPr>
          <w:ilvl w:val="0"/>
          <w:numId w:val="1014"/>
        </w:numPr>
      </w:pPr>
      <w:r>
        <w:t xml:space="preserve">Any OEM matter escalates through the CEO to the human founders.</w:t>
      </w:r>
    </w:p>
    <w:p>
      <w:pPr>
        <w:pStyle w:val="Compact"/>
        <w:numPr>
          <w:ilvl w:val="0"/>
          <w:numId w:val="1014"/>
        </w:numPr>
      </w:pPr>
      <w:r>
        <w:t xml:space="preserve">Partner arrangements offered: Enyrgy offers both white-label (a partner sells the platform under their own brand, as Lumanova does) and distribution (a partner distributes to other facilities). Both are real, offered arrangements. Specific terms are handled per deal; confirm with the CEO before quoting figures.</w:t>
      </w:r>
    </w:p>
    <w:p>
      <w:pPr>
        <w:pStyle w:val="Compact"/>
        <w:numPr>
          <w:ilvl w:val="0"/>
          <w:numId w:val="1014"/>
        </w:numPr>
      </w:pPr>
      <w:r>
        <w:rPr>
          <w:b/>
          <w:bCs/>
        </w:rPr>
        <w:t xml:space="preserve">Facility referral arrangement: ESCALATE TO SCOTT. Do not run this conversation.</w:t>
      </w:r>
      <w:r>
        <w:t xml:space="preserve"> </w:t>
      </w:r>
      <w:r>
        <w:t xml:space="preserve">A facility hands its members a unique referral link to</w:t>
      </w:r>
      <w:r>
        <w:t xml:space="preserve"> </w:t>
      </w:r>
      <w:r>
        <w:rPr>
          <w:rStyle w:val="VerbatimChar"/>
        </w:rPr>
        <w:t xml:space="preserve">shop.enyrgy.com</w:t>
      </w:r>
      <w:r>
        <w:t xml:space="preserve">; the member purchases directly from Enyrgy at the $2,995 MSRP and the facility is credited a commission. The facility carries no inventory and buys nothing. Because the member is the buyer of record, that purchase is HSA/FSA eligible (see §3) — the referral link does not change whose purchase it is.</w:t>
      </w:r>
    </w:p>
    <w:p>
      <w:pPr>
        <w:pStyle w:val="Compact"/>
        <w:numPr>
          <w:ilvl w:val="1"/>
          <w:numId w:val="1015"/>
        </w:numPr>
      </w:pPr>
      <w:r>
        <w:rPr>
          <w:b/>
          <w:bCs/>
        </w:rPr>
        <w:t xml:space="preserve">The commission is $600 per Consumer Unit sale, and this figure appears in Commercial Drip Touch 7</w:t>
      </w:r>
      <w:r>
        <w:t xml:space="preserve">, so a facility that received that email already has it. An agent may therefore confirm the figure if a facility quotes it back, but</w:t>
      </w:r>
      <w:r>
        <w:t xml:space="preserve"> </w:t>
      </w:r>
      <w:r>
        <w:rPr>
          <w:b/>
          <w:bCs/>
        </w:rPr>
        <w:t xml:space="preserve">must not negotiate, extend, or discuss terms</w:t>
      </w:r>
      <w:r>
        <w:t xml:space="preserve"> </w:t>
      </w:r>
      <w:r>
        <w:t xml:space="preserve">— hand off to Scott, same as white-label and distribution. Scott handles referral arrangements personally (decision, Aug 14 2026).</w:t>
      </w:r>
    </w:p>
    <w:bookmarkEnd w:id="23"/>
    <w:bookmarkStart w:id="24" w:name="key-reference-facts-quick-lookup"/>
    <w:p>
      <w:pPr>
        <w:pStyle w:val="Heading2"/>
      </w:pPr>
      <w:r>
        <w:t xml:space="preserve">15. Key reference facts (quick lookup)</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Data point</w:t>
            </w:r>
          </w:p>
        </w:tc>
        <w:tc>
          <w:tcPr/>
          <w:p>
            <w:pPr>
              <w:pStyle w:val="Compact"/>
            </w:pPr>
            <w:r>
              <w:t xml:space="preserve">Value</w:t>
            </w:r>
          </w:p>
        </w:tc>
      </w:tr>
      <w:tr>
        <w:tc>
          <w:tcPr/>
          <w:p>
            <w:pPr>
              <w:pStyle w:val="Compact"/>
            </w:pPr>
            <w:r>
              <w:t xml:space="preserve">Consumer Unit MSRP</w:t>
            </w:r>
          </w:p>
        </w:tc>
        <w:tc>
          <w:tcPr/>
          <w:p>
            <w:pPr>
              <w:pStyle w:val="Compact"/>
            </w:pPr>
            <w:r>
              <w:t xml:space="preserve">$2,995 (66 percent margin)</w:t>
            </w:r>
          </w:p>
        </w:tc>
      </w:tr>
      <w:tr>
        <w:tc>
          <w:tcPr/>
          <w:p>
            <w:pPr>
              <w:pStyle w:val="Compact"/>
            </w:pPr>
            <w:r>
              <w:t xml:space="preserve">Commercial Unit MSRP</w:t>
            </w:r>
          </w:p>
        </w:tc>
        <w:tc>
          <w:tcPr/>
          <w:p>
            <w:pPr>
              <w:pStyle w:val="Compact"/>
            </w:pPr>
            <w:r>
              <w:t xml:space="preserve">$8,950 (78 percent margin)</w:t>
            </w:r>
          </w:p>
        </w:tc>
      </w:tr>
      <w:tr>
        <w:tc>
          <w:tcPr/>
          <w:p>
            <w:pPr>
              <w:pStyle w:val="Compact"/>
            </w:pPr>
            <w:r>
              <w:t xml:space="preserve">Per-session cost</w:t>
            </w:r>
          </w:p>
        </w:tc>
        <w:tc>
          <w:tcPr/>
          <w:p>
            <w:pPr>
              <w:pStyle w:val="Compact"/>
            </w:pPr>
            <w:r>
              <w:t xml:space="preserve">$2.30 (5x per week, 5 years)</w:t>
            </w:r>
          </w:p>
        </w:tc>
      </w:tr>
      <w:tr>
        <w:tc>
          <w:tcPr/>
          <w:p>
            <w:pPr>
              <w:pStyle w:val="Compact"/>
            </w:pPr>
            <w:r>
              <w:t xml:space="preserve">Treatments completed</w:t>
            </w:r>
          </w:p>
        </w:tc>
        <w:tc>
          <w:tcPr/>
          <w:p>
            <w:pPr>
              <w:pStyle w:val="Compact"/>
            </w:pPr>
            <w:r>
              <w:t xml:space="preserve">25,000+ (zero adverse events)</w:t>
            </w:r>
          </w:p>
        </w:tc>
      </w:tr>
      <w:tr>
        <w:tc>
          <w:tcPr/>
          <w:p>
            <w:pPr>
              <w:pStyle w:val="Compact"/>
            </w:pPr>
            <w:r>
              <w:t xml:space="preserve">Customers</w:t>
            </w:r>
          </w:p>
        </w:tc>
        <w:tc>
          <w:tcPr/>
          <w:p>
            <w:pPr>
              <w:pStyle w:val="Compact"/>
            </w:pPr>
            <w:r>
              <w:t xml:space="preserve">600+ across 5 countries</w:t>
            </w:r>
          </w:p>
        </w:tc>
      </w:tr>
      <w:tr>
        <w:tc>
          <w:tcPr/>
          <w:p>
            <w:pPr>
              <w:pStyle w:val="Compact"/>
            </w:pPr>
            <w:r>
              <w:t xml:space="preserve">Return rate</w:t>
            </w:r>
          </w:p>
        </w:tc>
        <w:tc>
          <w:tcPr/>
          <w:p>
            <w:pPr>
              <w:pStyle w:val="Compact"/>
            </w:pPr>
            <w:r>
              <w:t xml:space="preserve">under 1 percent</w:t>
            </w:r>
          </w:p>
        </w:tc>
      </w:tr>
      <w:tr>
        <w:tc>
          <w:tcPr/>
          <w:p>
            <w:pPr>
              <w:pStyle w:val="Compact"/>
            </w:pPr>
            <w:r>
              <w:t xml:space="preserve">Clinical result</w:t>
            </w:r>
          </w:p>
        </w:tc>
        <w:tc>
          <w:tcPr/>
          <w:p>
            <w:pPr>
              <w:pStyle w:val="Compact"/>
            </w:pPr>
            <w:r>
              <w:t xml:space="preserve">+111 percent Vitamin D; 100 percent reached optimal</w:t>
            </w:r>
          </w:p>
        </w:tc>
      </w:tr>
      <w:tr>
        <w:tc>
          <w:tcPr/>
          <w:p>
            <w:pPr>
              <w:pStyle w:val="Compact"/>
            </w:pPr>
            <w:r>
              <w:t xml:space="preserve">Efficiency vs sunlight</w:t>
            </w:r>
          </w:p>
        </w:tc>
        <w:tc>
          <w:tcPr/>
          <w:p>
            <w:pPr>
              <w:pStyle w:val="Compact"/>
            </w:pPr>
            <w:r>
              <w:t xml:space="preserve">2.4x; 2 to 4 min equals 2 to 4 hours (about 60x)</w:t>
            </w:r>
          </w:p>
        </w:tc>
      </w:tr>
      <w:tr>
        <w:tc>
          <w:tcPr/>
          <w:p>
            <w:pPr>
              <w:pStyle w:val="Compact"/>
            </w:pPr>
            <w:r>
              <w:t xml:space="preserve">Red light co-use</w:t>
            </w:r>
          </w:p>
        </w:tc>
        <w:tc>
          <w:tcPr/>
          <w:p>
            <w:pPr>
              <w:pStyle w:val="Compact"/>
            </w:pPr>
            <w:r>
              <w:t xml:space="preserve">90 percent of customers</w:t>
            </w:r>
          </w:p>
        </w:tc>
      </w:tr>
      <w:tr>
        <w:tc>
          <w:tcPr/>
          <w:p>
            <w:pPr>
              <w:pStyle w:val="Compact"/>
            </w:pPr>
            <w:r>
              <w:t xml:space="preserve">Referral</w:t>
            </w:r>
          </w:p>
        </w:tc>
        <w:tc>
          <w:tcPr/>
          <w:p>
            <w:pPr>
              <w:pStyle w:val="Compact"/>
            </w:pPr>
            <w:r>
              <w:t xml:space="preserve">$150 off referee / $100 credit referrer</w:t>
            </w:r>
          </w:p>
        </w:tc>
      </w:tr>
      <w:tr>
        <w:tc>
          <w:tcPr/>
          <w:p>
            <w:pPr>
              <w:pStyle w:val="Compact"/>
            </w:pPr>
            <w:r>
              <w:t xml:space="preserve">Investor offering</w:t>
            </w:r>
          </w:p>
        </w:tc>
        <w:tc>
          <w:tcPr/>
          <w:p>
            <w:pPr>
              <w:pStyle w:val="Compact"/>
            </w:pPr>
            <w:r>
              <w:t xml:space="preserve">$3.5M at 12 percent / 3yr, $50K minimum</w:t>
            </w:r>
          </w:p>
        </w:tc>
      </w:tr>
      <w:tr>
        <w:tc>
          <w:tcPr/>
          <w:p>
            <w:pPr>
              <w:pStyle w:val="Compact"/>
            </w:pPr>
            <w:r>
              <w:t xml:space="preserve">Exit target</w:t>
            </w:r>
          </w:p>
        </w:tc>
        <w:tc>
          <w:tcPr/>
          <w:p>
            <w:pPr>
              <w:pStyle w:val="Compact"/>
            </w:pPr>
            <w:r>
              <w:t xml:space="preserve">$100 to 150M in 5 years</w:t>
            </w:r>
          </w:p>
        </w:tc>
      </w:tr>
      <w:tr>
        <w:tc>
          <w:tcPr/>
          <w:p>
            <w:pPr>
              <w:pStyle w:val="Compact"/>
            </w:pPr>
            <w:r>
              <w:t xml:space="preserve">Facility</w:t>
            </w:r>
          </w:p>
        </w:tc>
        <w:tc>
          <w:tcPr/>
          <w:p>
            <w:pPr>
              <w:pStyle w:val="Compact"/>
            </w:pPr>
            <w:r>
              <w:t xml:space="preserve">5115 N 27th Ave, Bld 66, Phoenix, AZ 85017, Made in USA</w:t>
            </w:r>
          </w:p>
        </w:tc>
      </w:tr>
      <w:tr>
        <w:tc>
          <w:tcPr/>
          <w:p>
            <w:pPr>
              <w:pStyle w:val="Compact"/>
            </w:pPr>
            <w:r>
              <w:t xml:space="preserve">Commercial model</w:t>
            </w:r>
          </w:p>
        </w:tc>
        <w:tc>
          <w:tcPr/>
          <w:p>
            <w:pPr>
              <w:pStyle w:val="Compact"/>
            </w:pPr>
            <w:r>
              <w:t xml:space="preserve">$49 to $125/month per client, set by location and clientele; payback under 4 months at 50 clients at $49, about 6 weeks at $125</w:t>
            </w:r>
          </w:p>
        </w:tc>
      </w:tr>
    </w:tbl>
    <w:p>
      <w:r>
        <w:pict>
          <v:rect style="width:0;height:1.5pt" o:hralign="center" o:hrstd="t" o:hr="t"/>
        </w:pict>
      </w:r>
    </w:p>
    <w:p>
      <w:pPr>
        <w:pStyle w:val="FirstParagraph"/>
      </w:pPr>
      <w:r>
        <w:rPr>
          <w:i/>
          <w:iCs/>
        </w:rPr>
        <w:t xml:space="preserve">CONFIDENTIAL - Enyrgy Inc - 5115 N 27th Ave, Bld 66, Phoenix, AZ 85017 - enyrgy.com - Sunlight. Evolved.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2026-08-17T22:33:23Z</dcterms:created>
  <dcterms:modified xsi:type="dcterms:W3CDTF">2026-08-17T22:33:23Z</dcterms:modified>
</cp:coreProperties>
</file>

<file path=docProps/custom.xml><?xml version="1.0" encoding="utf-8"?>
<Properties xmlns="http://schemas.openxmlformats.org/officeDocument/2006/custom-properties" xmlns:vt="http://schemas.openxmlformats.org/officeDocument/2006/docPropsVTypes"/>
</file>