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w:t>
      </w:r>
      <w:r>
        <w:t xml:space="preserve"> </w:t>
      </w:r>
      <w:r>
        <w:t xml:space="preserve">WF-01’s Device User Check condition is now, after a third pass on Aug 7:</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r>
        <w:br/>
      </w:r>
      <w:r>
        <w:rPr>
          <w:rStyle w:val="VerbatimChar"/>
        </w:rPr>
        <w:t xml:space="preserve">  AND Email is not empty</w:t>
      </w:r>
    </w:p>
    <w:p>
      <w:pPr>
        <w:pStyle w:val="FirstParagraph"/>
      </w:pPr>
      <w:r>
        <w:rPr>
          <w:b/>
          <w:bCs/>
        </w:rPr>
        <w:t xml:space="preserve">The fourth clause was added Aug 7 after inbound spam calls did the same thing email had done.</w:t>
      </w:r>
      <w:r>
        <w:t xml:space="preserve"> </w:t>
      </w:r>
      <w:r>
        <w:t xml:space="preserve">GHL creates a contact for every inbound call, WF-01 routed them to</w:t>
      </w:r>
      <w:r>
        <w:t xml:space="preserve"> </w:t>
      </w:r>
      <w:r>
        <w:rPr>
          <w:rStyle w:val="VerbatimChar"/>
        </w:rPr>
        <w:t xml:space="preserve">Default Consumer</w:t>
      </w:r>
      <w:r>
        <w:t xml:space="preserve">, and four robocalls became four consumer leads with four Opportunities. Routing an email-less contact accomplishes nothing anyway: the Consumer Drip cannot send without an email, and WF-02’s SMS gate blocks the text without consent. Verified by the inverse of the Aug 4 test, a phone-only contact that previously came back tagged</w:t>
      </w:r>
      <w:r>
        <w:t xml:space="preserve"> </w:t>
      </w:r>
      <w:r>
        <w:rPr>
          <w:rStyle w:val="VerbatimChar"/>
        </w:rPr>
        <w:t xml:space="preserve">type_consumer</w:t>
      </w:r>
      <w:r>
        <w:t xml:space="preserve"> </w:t>
      </w:r>
      <w:r>
        <w:t xml:space="preserve">now receives no tags at all.</w:t>
      </w:r>
    </w:p>
    <w:p>
      <w:pPr>
        <w:pStyle w:val="BodyText"/>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PRODUCT FEED: DECIDED AGAINST, August 16, 2026. Do not set one up until Shopify captures</w:t>
      </w:r>
      <w:r>
        <w:rPr>
          <w:b/>
          <w:bCs/>
        </w:rPr>
        <w:t xml:space="preserve"> </w:t>
      </w:r>
      <w:r>
        <w:rPr>
          <w:rStyle w:val="VerbatimChar"/>
          <w:b/>
          <w:bCs/>
        </w:rPr>
        <w:t xml:space="preserve">refid</w:t>
      </w:r>
      <w:r>
        <w:rPr>
          <w:b/>
          <w:bCs/>
        </w:rPr>
        <w:t xml:space="preserve">.</w:t>
      </w:r>
      <w:r>
        <w:t xml:space="preserve"> </w:t>
      </w:r>
      <w:r>
        <w:t xml:space="preserve">FlexOffers offers advertisers a product feed (Programs → Products) that publishes a product catalog so publishers can promote individual SKUs. It looks like an obvious win on the page and it is not, because it is incompatible with how 250377 attributes sales.</w:t>
      </w:r>
    </w:p>
    <w:p>
      <w:pPr>
        <w:pStyle w:val="BodyText"/>
      </w:pPr>
      <w:r>
        <w:rPr>
          <w:b/>
          <w:bCs/>
        </w:rPr>
        <w:t xml:space="preserve">Why it breaks.</w:t>
      </w:r>
      <w:r>
        <w:t xml:space="preserve"> </w:t>
      </w:r>
      <w:r>
        <w:t xml:space="preserve">Attribution is capture-and-postback: the five lead-magnet pages read</w:t>
      </w:r>
      <w:r>
        <w:t xml:space="preserve"> </w:t>
      </w:r>
      <w:r>
        <w:rPr>
          <w:rStyle w:val="VerbatimChar"/>
        </w:rPr>
        <w:t xml:space="preserve">refid</w:t>
      </w:r>
      <w:r>
        <w:t xml:space="preserve"> </w:t>
      </w:r>
      <w:r>
        <w:t xml:space="preserve">from the landing URL and store it, and WF-30 fires the postback on Order fulfilled gated on</w:t>
      </w:r>
      <w:r>
        <w:t xml:space="preserve"> </w:t>
      </w:r>
      <w:r>
        <w:rPr>
          <w:rStyle w:val="VerbatimChar"/>
        </w:rPr>
        <w:t xml:space="preserve">FlexOffers Refid is not empty</w:t>
      </w:r>
      <w:r>
        <w:t xml:space="preserve">. A product feed hands publishers product-level links that go</w:t>
      </w:r>
      <w:r>
        <w:t xml:space="preserve"> </w:t>
      </w:r>
      <w:r>
        <w:rPr>
          <w:b/>
          <w:bCs/>
        </w:rPr>
        <w:t xml:space="preserve">straight to</w:t>
      </w:r>
      <w:r>
        <w:rPr>
          <w:b/>
          <w:bCs/>
        </w:rPr>
        <w:t xml:space="preserve"> </w:t>
      </w:r>
      <w:r>
        <w:rPr>
          <w:rStyle w:val="VerbatimChar"/>
          <w:b/>
          <w:bCs/>
        </w:rPr>
        <w:t xml:space="preserve">shop.enyrgy.com</w:t>
      </w:r>
      <w:r>
        <w:rPr>
          <w:b/>
          <w:bCs/>
        </w:rPr>
        <w:t xml:space="preserve">, which runs none of that capture code</w:t>
      </w:r>
      <w:r>
        <w:t xml:space="preserve">. A visitor arrives on Shopify with a</w:t>
      </w:r>
      <w:r>
        <w:t xml:space="preserve"> </w:t>
      </w:r>
      <w:r>
        <w:rPr>
          <w:rStyle w:val="VerbatimChar"/>
        </w:rPr>
        <w:t xml:space="preserve">refid</w:t>
      </w:r>
      <w:r>
        <w:t xml:space="preserve"> </w:t>
      </w:r>
      <w:r>
        <w:t xml:space="preserve">nothing reads, buys, and WF-30 finds the field empty and sends no postback. The publisher earns nothing having done exactly what the feed invited. This is the same failure shape as the WF-25 reply path: the tool invites an action the system cannot pay for. It is also why</w:t>
      </w:r>
      <w:r>
        <w:t xml:space="preserve"> </w:t>
      </w:r>
      <w:r>
        <w:rPr>
          <w:b/>
          <w:bCs/>
        </w:rPr>
        <w:t xml:space="preserve">Deep Linking is OFF</w:t>
      </w:r>
      <w:r>
        <w:t xml:space="preserve"> </w:t>
      </w:r>
      <w:r>
        <w:t xml:space="preserve">on this program — a product feed is a deep-linking mechanism, and the reason it was rejected then still holds.</w:t>
      </w:r>
    </w:p>
    <w:p>
      <w:pPr>
        <w:pStyle w:val="BodyText"/>
      </w:pPr>
      <w:r>
        <w:rPr>
          <w:b/>
          <w:bCs/>
        </w:rPr>
        <w:t xml:space="preserve">Conditions to revisit.</w:t>
      </w:r>
      <w:r>
        <w:t xml:space="preserve"> </w:t>
      </w:r>
      <w:r>
        <w:t xml:space="preserve">Either (a) add</w:t>
      </w:r>
      <w:r>
        <w:t xml:space="preserve"> </w:t>
      </w:r>
      <w:r>
        <w:rPr>
          <w:rStyle w:val="VerbatimChar"/>
        </w:rPr>
        <w:t xml:space="preserve">refid</w:t>
      </w:r>
      <w:r>
        <w:t xml:space="preserve"> </w:t>
      </w:r>
      <w:r>
        <w:t xml:space="preserve">capture to the Shopify product pages and carry it into the order, after which direct product links attribute correctly and deep linking becomes viable generally, or (b) leave it. With</w:t>
      </w:r>
      <w:r>
        <w:t xml:space="preserve"> </w:t>
      </w:r>
      <w:r>
        <w:rPr>
          <w:b/>
          <w:bCs/>
        </w:rPr>
        <w:t xml:space="preserve">two SKUs</w:t>
      </w:r>
      <w:r>
        <w:t xml:space="preserve"> </w:t>
      </w:r>
      <w:r>
        <w:t xml:space="preserve">(</w:t>
      </w:r>
      <w:r>
        <w:rPr>
          <w:rStyle w:val="VerbatimChar"/>
        </w:rPr>
        <w:t xml:space="preserve">EN-UVB-020</w:t>
      </w:r>
      <w:r>
        <w:t xml:space="preserve"> </w:t>
      </w:r>
      <w:r>
        <w:t xml:space="preserve">and</w:t>
      </w:r>
      <w:r>
        <w:t xml:space="preserve"> </w:t>
      </w:r>
      <w:r>
        <w:rPr>
          <w:rStyle w:val="VerbatimChar"/>
        </w:rPr>
        <w:t xml:space="preserve">ENRG 011</w:t>
      </w:r>
      <w:r>
        <w:t xml:space="preserve">) a feed earns very little regardless; feeds pay off on large catalogs. Do NOT take the third option that suggests itself, pointing every feed</w:t>
      </w:r>
      <w:r>
        <w:t xml:space="preserve"> </w:t>
      </w:r>
      <w:r>
        <w:rPr>
          <w:rStyle w:val="VerbatimChar"/>
        </w:rPr>
        <w:t xml:space="preserve">LinkUrl</w:t>
      </w:r>
      <w:r>
        <w:t xml:space="preserve"> </w:t>
      </w:r>
      <w:r>
        <w:t xml:space="preserve">at a lead magnet — publishers expect a product page, get a quiz, and it reads as bait-and-switch.</w:t>
      </w:r>
    </w:p>
    <w:p>
      <w:pPr>
        <w:pStyle w:val="BodyText"/>
      </w:pPr>
      <w:r>
        <w:rPr>
          <w:b/>
          <w:bCs/>
        </w:rPr>
        <w:t xml:space="preserve">If it is ever built:</w:t>
      </w:r>
      <w:r>
        <w:t xml:space="preserve"> </w:t>
      </w:r>
      <w:r>
        <w:t xml:space="preserve">FlexOffers accepts CSV or XML, requires</w:t>
      </w:r>
      <w:r>
        <w:t xml:space="preserve"> </w:t>
      </w:r>
      <w:r>
        <w:rPr>
          <w:rStyle w:val="VerbatimChar"/>
        </w:rPr>
        <w:t xml:space="preserve">AdvertiserId</w:t>
      </w:r>
      <w:r>
        <w:t xml:space="preserve">,</w:t>
      </w:r>
      <w:r>
        <w:t xml:space="preserve"> </w:t>
      </w:r>
      <w:r>
        <w:rPr>
          <w:rStyle w:val="VerbatimChar"/>
        </w:rPr>
        <w:t xml:space="preserve">Pid</w:t>
      </w:r>
      <w:r>
        <w:t xml:space="preserve">,</w:t>
      </w:r>
      <w:r>
        <w:t xml:space="preserve"> </w:t>
      </w:r>
      <w:r>
        <w:rPr>
          <w:rStyle w:val="VerbatimChar"/>
        </w:rPr>
        <w:t xml:space="preserve">Name</w:t>
      </w:r>
      <w:r>
        <w:t xml:space="preserve">,</w:t>
      </w:r>
      <w:r>
        <w:t xml:space="preserve"> </w:t>
      </w:r>
      <w:r>
        <w:rPr>
          <w:rStyle w:val="VerbatimChar"/>
        </w:rPr>
        <w:t xml:space="preserve">LinkUrl</w:t>
      </w:r>
      <w:r>
        <w:t xml:space="preserve">, and accepts the same CSV used for the website, so</w:t>
      </w:r>
      <w:r>
        <w:t xml:space="preserve"> </w:t>
      </w:r>
      <w:r>
        <w:rPr>
          <w:rStyle w:val="VerbatimChar"/>
        </w:rPr>
        <w:t xml:space="preserve">products_export_1.csv</w:t>
      </w:r>
      <w:r>
        <w:t xml:space="preserve"> </w:t>
      </w:r>
      <w:r>
        <w:t xml:space="preserve">is a starting point. The File Name convention is not in FlexOffers’ public docs; it is on the SPECIFICATIONS tab of that page.</w:t>
      </w:r>
    </w:p>
    <w:p>
      <w:pPr>
        <w:pStyle w:val="BodyText"/>
      </w:pP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at repo commit</w:t>
            </w:r>
            <w:r>
              <w:rPr>
                <w:b/>
                <w:bCs/>
              </w:rPr>
              <w:t xml:space="preserve"> </w:t>
            </w:r>
            <w:r>
              <w:rPr>
                <w:rStyle w:val="VerbatimChar"/>
                <w:b/>
                <w:bCs/>
              </w:rPr>
              <w:t xml:space="preserve">42090226</w:t>
            </w:r>
            <w:r>
              <w:rPr>
                <w:b/>
                <w:bCs/>
              </w:rPr>
              <w:t xml:space="preserve">. DRIFTED SINCE:</w:t>
            </w:r>
            <w:r>
              <w:t xml:space="preserve"> </w:t>
            </w:r>
            <w:r>
              <w:t xml:space="preserve">KB Section 11 changed on Aug 4, removing the sentence</w:t>
            </w:r>
            <w:r>
              <w:t xml:space="preserve"> </w:t>
            </w:r>
            <w:r>
              <w:t xml:space="preserve">“Review all client-facing content against the January 2026 FDA Guidelines for Wellness Products before use.”</w:t>
            </w:r>
            <w:r>
              <w:t xml:space="preserve"> </w:t>
            </w:r>
            <w:r>
              <w:t xml:space="preserve">Removed on Scott’s decision because it instructed a check no agent could perform, against a guidance whose own scope test (decision-tree question A3, radiation exposure) appears to exclude UV-emitting devices. See TODO 4f.</w:t>
            </w:r>
            <w:r>
              <w:t xml:space="preserve"> </w:t>
            </w:r>
            <w:r>
              <w:rPr>
                <w:b/>
                <w:bCs/>
              </w:rPr>
              <w:t xml:space="preserve">One-line edit to re-sync: delete that sentence from Section 11 in Skill Studio.</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2026-08-17T13:43:34Z</dcterms:created>
  <dcterms:modified xsi:type="dcterms:W3CDTF">2026-08-17T13:43:34Z</dcterms:modified>
</cp:coreProperties>
</file>

<file path=docProps/custom.xml><?xml version="1.0" encoding="utf-8"?>
<Properties xmlns="http://schemas.openxmlformats.org/officeDocument/2006/custom-properties" xmlns:vt="http://schemas.openxmlformats.org/officeDocument/2006/docPropsVTypes"/>
</file>