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GHL agency profile address + sender name</w:t>
      </w:r>
      <w:r>
        <w:t xml:space="preserve"> </w:t>
      </w:r>
      <w:r>
        <w:t xml:space="preserve">— agency-level system emails (sent from the Ledgerix Pro LLC agency, which owns the Enyrgy Inc sub-account) still show the OLD Scottsdale address (7641 E Gray Rd, STE G, Scottsdale, AZ 85260). Fix in Agency Settings &gt; Business Profile: update the mailing address to the Phoenix facility (5115 N 27th Ave, Bld 66, Phoenix, AZ 85017), and optionally rebrand the agency sender name from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to Enyrgy. NOTE: distinct system from the Shopify policy address (already fixed).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2"/>
  </w:num>
  <w:num w:numId="1021">
    <w:abstractNumId w:val="993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3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2026-07-29T15:06:21Z</dcterms:created>
  <dcterms:modified xsi:type="dcterms:W3CDTF">2026-07-29T15:06:21Z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