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13" w:name="X903a202284d525ce488a2bb7897e84a177c088d"/>
    <w:p>
      <w:pPr>
        <w:pStyle w:val="Heading1"/>
      </w:pPr>
      <w:r>
        <w:t xml:space="preserve">SECTION 1: ENYRGY COMPANY CONTEXT &amp; UPDATED FACTS</w:t>
      </w:r>
    </w:p>
    <w:bookmarkStart w:id="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9"/>
    <w:bookmarkStart w:id="10" w:name="updated-company-metrics"/>
    <w:p>
      <w:pPr>
        <w:pStyle w:val="Heading2"/>
      </w:pPr>
      <w:r>
        <w:t xml:space="preserve">Updated Company Metrics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0"/>
    <w:bookmarkStart w:id="1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1"/>
    <w:bookmarkStart w:id="12" w:name="revenue-streams-pricing"/>
    <w:p>
      <w:pPr>
        <w:pStyle w:val="Heading2"/>
      </w:pPr>
      <w:r>
        <w:t xml:space="preserve">Revenue Streams &amp; Pricing</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12"/>
    <w:bookmarkEnd w:id="13"/>
    <w:bookmarkStart w:id="19" w:name="X8b291bc1562de733447dfbc535b382740163587"/>
    <w:p>
      <w:pPr>
        <w:pStyle w:val="Heading1"/>
      </w:pPr>
      <w:r>
        <w:t xml:space="preserve">SECTION 2: AUTOMATION ARCHITECTURE: PAPERCLIP AGENT SYSTEM + HUMAN IN THE LOOP (HITL)</w:t>
      </w:r>
    </w:p>
    <w:bookmarkStart w:id="1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14"/>
    <w:bookmarkStart w:id="1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15"/>
    <w:bookmarkStart w:id="1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16"/>
    <w:bookmarkStart w:id="1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17"/>
    <w:bookmarkStart w:id="1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18"/>
    <w:bookmarkEnd w:id="19"/>
    <w:bookmarkStart w:id="2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0" w:name="c-suite-layer-3-agents"/>
    <w:p>
      <w:pPr>
        <w:pStyle w:val="Heading2"/>
      </w:pPr>
      <w:r>
        <w:t xml:space="preserve">C-Suite Layer (3 Agents)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0"/>
    <w:bookmarkStart w:id="21" w:name="coo-division-7-agents"/>
    <w:p>
      <w:pPr>
        <w:pStyle w:val="Heading2"/>
      </w:pPr>
      <w:r>
        <w:t xml:space="preserve">COO Division (7 Agents)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1"/>
    <w:bookmarkStart w:id="22" w:name="cro-division-6-agents"/>
    <w:p>
      <w:pPr>
        <w:pStyle w:val="Heading2"/>
      </w:pPr>
      <w:r>
        <w:t xml:space="preserve">CRO Division (6 Agents)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22"/>
    <w:bookmarkStart w:id="23" w:name="agent-to-workflow-mapping"/>
    <w:p>
      <w:pPr>
        <w:pStyle w:val="Heading2"/>
      </w:pPr>
      <w:r>
        <w:t xml:space="preserve">Agent-to-Workflow Mapping</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23"/>
    <w:bookmarkStart w:id="2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24"/>
    <w:bookmarkStart w:id="2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25"/>
    <w:bookmarkStart w:id="2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26"/>
    <w:bookmarkEnd w:id="27"/>
    <w:bookmarkStart w:id="2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28"/>
    <w:bookmarkStart w:id="31" w:name="section-5-ghl-account-structure"/>
    <w:p>
      <w:pPr>
        <w:pStyle w:val="Heading1"/>
      </w:pPr>
      <w:r>
        <w:t xml:space="preserve">SECTION 5: GHL ACCOUNT STRUCTURE</w:t>
      </w:r>
    </w:p>
    <w:bookmarkStart w:id="29" w:name="key-urls"/>
    <w:p>
      <w:pPr>
        <w:pStyle w:val="Heading2"/>
      </w:pPr>
      <w:r>
        <w:t xml:space="preserve">Key URLs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29"/>
    <w:bookmarkStart w:id="3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0"/>
    <w:bookmarkEnd w:id="31"/>
    <w:bookmarkStart w:id="32" w:name="section-6-calendar-reference"/>
    <w:p>
      <w:pPr>
        <w:pStyle w:val="Heading1"/>
      </w:pPr>
      <w:r>
        <w:t xml:space="preserve">SECTION 6: CALENDAR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32"/>
    <w:bookmarkStart w:id="34" w:name="section-7-team-reference"/>
    <w:p>
      <w:pPr>
        <w:pStyle w:val="Heading1"/>
      </w:pPr>
      <w:r>
        <w:t xml:space="preserve">SECTION 7: TEAM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33" w:name="funnel-ownership"/>
    <w:p>
      <w:pPr>
        <w:pStyle w:val="Heading2"/>
      </w:pPr>
      <w:r>
        <w:t xml:space="preserve">Funnel Ownership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33"/>
    <w:bookmarkEnd w:id="34"/>
    <w:bookmarkStart w:id="42" w:name="section-8-ghl-contact-fields"/>
    <w:p>
      <w:pPr>
        <w:pStyle w:val="Heading1"/>
      </w:pPr>
      <w:r>
        <w:t xml:space="preserve">SECTION 8: GHL CONTACT FIELDS</w:t>
      </w:r>
    </w:p>
    <w:bookmarkStart w:id="35" w:name="folder-structure"/>
    <w:p>
      <w:pPr>
        <w:pStyle w:val="Heading2"/>
      </w:pPr>
      <w:r>
        <w:t xml:space="preserve">Folder Structure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35"/>
    <w:bookmarkStart w:id="3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36"/>
    <w:bookmarkStart w:id="3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37"/>
    <w:bookmarkStart w:id="3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38"/>
    <w:bookmarkStart w:id="3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39"/>
    <w:bookmarkStart w:id="4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0"/>
    <w:bookmarkStart w:id="4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1"/>
    <w:bookmarkEnd w:id="42"/>
    <w:bookmarkStart w:id="4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43"/>
    <w:bookmarkStart w:id="44" w:name="section-10-pipelines"/>
    <w:p>
      <w:pPr>
        <w:pStyle w:val="Heading1"/>
      </w:pPr>
      <w:r>
        <w:t xml:space="preserve">SECTION 10: PIPELINES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44"/>
    <w:bookmarkStart w:id="50" w:name="section-11-drip-campaigns"/>
    <w:p>
      <w:pPr>
        <w:pStyle w:val="Heading1"/>
      </w:pPr>
      <w:r>
        <w:t xml:space="preserve">SECTION 11: DRIP CAMPAIGNS</w:t>
      </w:r>
    </w:p>
    <w:bookmarkStart w:id="45" w:name="campaign-overview"/>
    <w:p>
      <w:pPr>
        <w:pStyle w:val="Heading2"/>
      </w:pPr>
      <w:r>
        <w:t xml:space="preserve">Campaign Overview</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45"/>
    <w:bookmarkStart w:id="4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6"/>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6"/>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46"/>
    <w:bookmarkStart w:id="4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47"/>
    <w:bookmarkStart w:id="48" w:name="consumer-drip-12-touch-sequence"/>
    <w:p>
      <w:pPr>
        <w:pStyle w:val="Heading2"/>
      </w:pPr>
      <w:r>
        <w:t xml:space="preserve">Consumer Drip, 12 Touch Sequence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48"/>
    <w:bookmarkStart w:id="49" w:name="investor-drip-8-touch-sequence"/>
    <w:p>
      <w:pPr>
        <w:pStyle w:val="Heading2"/>
      </w:pPr>
      <w:r>
        <w:t xml:space="preserve">Investor Drip, 8 Touch Sequence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49"/>
    <w:bookmarkEnd w:id="50"/>
    <w:bookmarkStart w:id="57" w:name="section-12-core-workflows"/>
    <w:p>
      <w:pPr>
        <w:pStyle w:val="Heading1"/>
      </w:pPr>
      <w:r>
        <w:t xml:space="preserve">SECTION 12: CORE WORKFLOWS</w:t>
      </w:r>
    </w:p>
    <w:bookmarkStart w:id="51" w:name="wf-01-through-wf-10"/>
    <w:p>
      <w:pPr>
        <w:pStyle w:val="Heading2"/>
      </w:pPr>
      <w:r>
        <w:t xml:space="preserve">WF-01 through WF-10</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1"/>
    <w:bookmarkStart w:id="52" w:name="X5bc6bf71dba644c700ee4f719d5b4f05d19bbd5"/>
    <w:p>
      <w:pPr>
        <w:pStyle w:val="Heading2"/>
      </w:pPr>
      <w:r>
        <w:t xml:space="preserve">WF-11 through WF-20 (Consumer Funnel, all four magnets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52"/>
    <w:bookmarkStart w:id="53" w:name="X8b635a9b8e26577bc07542dc589df6fb2ab55bd"/>
    <w:p>
      <w:pPr>
        <w:pStyle w:val="Heading2"/>
      </w:pPr>
      <w:r>
        <w:t xml:space="preserve">WF-21 through WF-26 (added Sessions 9 and 10,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bookmarkEnd w:id="53"/>
    <w:bookmarkStart w:id="54" w:name="X9810ec7f62b2338d56466c983e3d36a26fc107d"/>
    <w:p>
      <w:pPr>
        <w:pStyle w:val="Heading2"/>
      </w:pPr>
      <w:r>
        <w:t xml:space="preserve">WF-30 through WF-35 (added Sessions 15 and 16)</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54"/>
    <w:bookmarkStart w:id="55"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numPr>
          <w:ilvl w:val="0"/>
          <w:numId w:val="1007"/>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55"/>
    <w:bookmarkStart w:id="56" w:name="lead-scoring-model"/>
    <w:p>
      <w:pPr>
        <w:pStyle w:val="Heading2"/>
      </w:pPr>
      <w:r>
        <w:t xml:space="preserve">Lead Scoring Model</w:t>
      </w:r>
    </w:p>
    <w:p>
      <w:pPr>
        <w:pStyle w:val="FirstParagraph"/>
      </w:pPr>
      <w:r>
        <w:t xml:space="preserve">Email Opened +6 · Appointment Confirmed +21 · Contact Reply +11 · Appointment Booked +21.</w:t>
      </w:r>
    </w:p>
    <w:bookmarkEnd w:id="56"/>
    <w:bookmarkEnd w:id="57"/>
    <w:bookmarkStart w:id="58"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58"/>
    <w:bookmarkStart w:id="64" w:name="section-14-content-rules-updated-in-v3.7"/>
    <w:p>
      <w:pPr>
        <w:pStyle w:val="Heading1"/>
      </w:pPr>
      <w:r>
        <w:t xml:space="preserve">SECTION 14: CONTENT RULES (UPDATED in v3.7)</w:t>
      </w:r>
    </w:p>
    <w:bookmarkStart w:id="59"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59"/>
    <w:bookmarkStart w:id="60"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0"/>
    <w:bookmarkStart w:id="61"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1"/>
    <w:bookmarkStart w:id="62"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2"/>
    <w:bookmarkStart w:id="63"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63"/>
    <w:bookmarkEnd w:id="64"/>
    <w:bookmarkStart w:id="65"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65"/>
    <w:bookmarkStart w:id="68" w:name="section-16-commercial-roi-model"/>
    <w:p>
      <w:pPr>
        <w:pStyle w:val="Heading1"/>
      </w:pPr>
      <w:r>
        <w:t xml:space="preserve">SECTION 16: COMMERCIAL ROI MODEL</w:t>
      </w:r>
    </w:p>
    <w:bookmarkStart w:id="66" w:name="model-a-pay-per-modality"/>
    <w:p>
      <w:pPr>
        <w:pStyle w:val="Heading2"/>
      </w:pPr>
      <w:r>
        <w:t xml:space="preserve">Model A, Pay Per Modality</w:t>
      </w:r>
    </w:p>
    <w:p>
      <w:pPr>
        <w:pStyle w:val="FirstParagraph"/>
      </w:pPr>
      <w:r>
        <w:t xml:space="preserve">$49/month per client to add as standalone modality.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66"/>
    <w:bookmarkStart w:id="67"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67"/>
    <w:bookmarkEnd w:id="68"/>
    <w:bookmarkStart w:id="69"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69"/>
    <w:bookmarkStart w:id="70" w:name="section-18-key-reference-data"/>
    <w:p>
      <w:pPr>
        <w:pStyle w:val="Heading1"/>
      </w:pPr>
      <w:r>
        <w:t xml:space="preserve">SECTION 18: KEY REFERENCE DATA</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0"/>
    <w:bookmarkStart w:id="73" w:name="X17ff4415c04741fc8a2aa7a70f1e07a23764a6c"/>
    <w:p>
      <w:pPr>
        <w:pStyle w:val="Heading1"/>
      </w:pPr>
      <w:r>
        <w:t xml:space="preserve">SECTION 19: OEM / WHITE-LABEL PARTNER PROGRAM</w:t>
      </w:r>
    </w:p>
    <w:bookmarkStart w:id="71" w:name="current-partner-lumanova-luma-d-light"/>
    <w:p>
      <w:pPr>
        <w:pStyle w:val="Heading2"/>
      </w:pPr>
      <w:r>
        <w:t xml:space="preserve">Current Partner, Lumanova / Luma D Light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1"/>
    <w:bookmarkStart w:id="72"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2"/>
    <w:bookmarkEnd w:id="73"/>
    <w:bookmarkStart w:id="77"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74"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74"/>
    <w:bookmarkStart w:id="75"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75"/>
    <w:bookmarkStart w:id="76"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76"/>
    <w:bookmarkEnd w:id="77"/>
    <w:bookmarkStart w:id="78"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78"/>
    <w:bookmarkStart w:id="83" w:name="section-22-client-type-playbooks"/>
    <w:p>
      <w:pPr>
        <w:pStyle w:val="Heading1"/>
      </w:pPr>
      <w:r>
        <w:t xml:space="preserve">SECTION 22: CLIENT TYPE PLAYBOOKS</w:t>
      </w:r>
    </w:p>
    <w:bookmarkStart w:id="79" w:name="consumer-playbook-discovery-questions"/>
    <w:p>
      <w:pPr>
        <w:pStyle w:val="Heading2"/>
      </w:pPr>
      <w:r>
        <w:t xml:space="preserve">Consumer Playbook, Discovery Questions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79"/>
    <w:bookmarkStart w:id="80"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0"/>
    <w:bookmarkStart w:id="81"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1"/>
    <w:bookmarkStart w:id="82" w:name="investor-playbook-pitch-flow"/>
    <w:p>
      <w:pPr>
        <w:pStyle w:val="Heading2"/>
      </w:pPr>
      <w:r>
        <w:t xml:space="preserve">Investor Playbook, Pitch Flow</w:t>
      </w:r>
    </w:p>
    <w:p>
      <w:pPr>
        <w:numPr>
          <w:ilvl w:val="0"/>
          <w:numId w:val="1015"/>
        </w:numPr>
      </w:pPr>
      <w:r>
        <w:t xml:space="preserve">Company &amp; Problem (5 min): 3.8B deficient worldwide, supplements fail 1 in 4,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2"/>
    <w:bookmarkEnd w:id="83"/>
    <w:bookmarkStart w:id="84" w:name="section-23-contact"/>
    <w:p>
      <w:pPr>
        <w:pStyle w:val="Heading1"/>
      </w:pPr>
      <w:r>
        <w:t xml:space="preserve">SECTION 23: CONTACT</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84"/>
    <w:bookmarkStart w:id="91" w:name="X2eb0bc4ebcb5446a412218d313bed2b732c6680"/>
    <w:p>
      <w:pPr>
        <w:pStyle w:val="Heading1"/>
      </w:pPr>
      <w:r>
        <w:t xml:space="preserve">SECTION 24: CONSUMER FUNNEL: ICP-DARTBOARD SYSTEM (NEW in v3.7)</w:t>
      </w:r>
    </w:p>
    <w:bookmarkStart w:id="85"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85"/>
    <w:bookmarkStart w:id="86" w:name="end-to-end-routing"/>
    <w:p>
      <w:pPr>
        <w:pStyle w:val="Heading2"/>
      </w:pPr>
      <w:r>
        <w:t xml:space="preserve">End-to-End Routing</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86"/>
    <w:bookmarkStart w:id="87"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87"/>
    <w:bookmarkStart w:id="88" w:name="the-magnets"/>
    <w:p>
      <w:pPr>
        <w:pStyle w:val="Heading2"/>
      </w:pPr>
      <w:r>
        <w:t xml:space="preserve">The Magnets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88"/>
    <w:bookmarkStart w:id="89" w:name="email-series"/>
    <w:p>
      <w:pPr>
        <w:pStyle w:val="Heading2"/>
      </w:pPr>
      <w:r>
        <w:t xml:space="preserve">Email Series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89"/>
    <w:bookmarkStart w:id="90"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2026-08-07T16:34:32Z</dcterms:created>
  <dcterms:modified xsi:type="dcterms:W3CDTF">2026-08-07T16:34:32Z</dcterms:modified>
</cp:coreProperties>
</file>

<file path=docProps/custom.xml><?xml version="1.0" encoding="utf-8"?>
<Properties xmlns="http://schemas.openxmlformats.org/officeDocument/2006/custom-properties" xmlns:vt="http://schemas.openxmlformats.org/officeDocument/2006/docPropsVTypes"/>
</file>