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3"/>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3"/>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3"/>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3"/>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3"/>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3"/>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3"/>
        </w:numPr>
      </w:pPr>
      <w:r>
        <w:t xml:space="preserve">☒</w:t>
      </w:r>
      <w:r>
        <w:t xml:space="preserve"> </w:t>
      </w:r>
      <w:r>
        <w:rPr>
          <w:b/>
          <w:bCs/>
        </w:rPr>
        <w:t xml:space="preserve">Spam contacts and their Opportunities deleted.</w:t>
      </w:r>
    </w:p>
    <w:p>
      <w:pPr>
        <w:pStyle w:val="Compact"/>
        <w:numPr>
          <w:ilvl w:val="0"/>
          <w:numId w:val="1073"/>
        </w:numPr>
      </w:pPr>
      <w:r>
        <w:t xml:space="preserve">☐</w:t>
      </w:r>
      <w:r>
        <w:t xml:space="preserve"> </w:t>
      </w:r>
      <w:r>
        <w:rPr>
          <w:b/>
          <w:bCs/>
        </w:rPr>
        <w:t xml:space="preserve">OPEN: WF-35 still fires on call and voicemail events and produces a useless notification</w:t>
      </w:r>
      <w:r>
        <w:t xml:space="preserve"> </w:t>
      </w:r>
      <w:r>
        <w:t xml:space="preserve">(</w:t>
      </w:r>
      <w:r>
        <w:rPr>
          <w:rStyle w:val="VerbatimChar"/>
        </w:rPr>
        <w:t xml:space="preserve">undefined</w:t>
      </w:r>
      <w:r>
        <w:t xml:space="preserve"> </w:t>
      </w:r>
      <w:r>
        <w:t xml:space="preserve">as the message body).</w:t>
      </w:r>
      <w:r>
        <w:t xml:space="preserve"> </w:t>
      </w:r>
      <w:r>
        <w:rPr>
          <w:b/>
          <w:bCs/>
        </w:rPr>
        <w:t xml:space="preserve">Do not fix this by filtering the call channel out.</w:t>
      </w:r>
      <w:r>
        <w:t xml:space="preserve"> </w:t>
      </w:r>
      <w:r>
        <w:t xml:space="preserve">The call channel was already the silent path, which is the whole finding above; filtering would restore that silence. The fix is a branch on empty message body that sends a call-specific notification naming the number, which turns today’s noise into the thing that would surface a real customer call.</w:t>
      </w:r>
    </w:p>
    <w:p>
      <w:pPr>
        <w:pStyle w:val="Compact"/>
        <w:numPr>
          <w:ilvl w:val="0"/>
          <w:numId w:val="1073"/>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4"/>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4"/>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4"/>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4"/>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4"/>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4"/>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4"/>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5"/>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6"/>
        </w:numPr>
      </w:pPr>
      <w:r>
        <w:rPr>
          <w:b/>
          <w:bCs/>
        </w:rPr>
        <w:t xml:space="preserve">System-of-record ownership map:</w:t>
      </w:r>
      <w:r>
        <w:t xml:space="preserve"> </w:t>
      </w:r>
      <w:r>
        <w:t xml:space="preserve">ratify the documented SoR (decision/doc task).</w:t>
      </w:r>
    </w:p>
    <w:p>
      <w:pPr>
        <w:pStyle w:val="Compact"/>
        <w:numPr>
          <w:ilvl w:val="0"/>
          <w:numId w:val="1077"/>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8"/>
        </w:numPr>
      </w:pPr>
      <w:r>
        <w:rPr>
          <w:b/>
          <w:bCs/>
        </w:rPr>
        <w:t xml:space="preserve">OEM / Lumanova data boundary:</w:t>
      </w:r>
      <w:r>
        <w:t xml:space="preserve"> </w:t>
      </w:r>
      <w:r>
        <w:t xml:space="preserve">formalize an auditable path as the partner program grows.</w:t>
      </w:r>
    </w:p>
    <w:p>
      <w:pPr>
        <w:pStyle w:val="Compact"/>
        <w:numPr>
          <w:ilvl w:val="0"/>
          <w:numId w:val="1079"/>
        </w:numPr>
      </w:pPr>
      <w:r>
        <w:rPr>
          <w:b/>
          <w:bCs/>
        </w:rPr>
        <w:t xml:space="preserve">Metric governance owner:</w:t>
      </w:r>
      <w:r>
        <w:t xml:space="preserve"> </w:t>
      </w:r>
      <w:r>
        <w:t xml:space="preserve">figures reconciled; assign a single owner.</w:t>
      </w:r>
    </w:p>
    <w:p>
      <w:pPr>
        <w:pStyle w:val="Compact"/>
        <w:numPr>
          <w:ilvl w:val="0"/>
          <w:numId w:val="1080"/>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1"/>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2"/>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3"/>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4"/>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5"/>
        </w:numPr>
      </w:pPr>
      <w:r>
        <w:rPr>
          <w:b/>
          <w:bCs/>
        </w:rPr>
        <w:t xml:space="preserve">Paid acquisition</w:t>
      </w:r>
      <w:r>
        <w:t xml:space="preserve"> </w:t>
      </w:r>
      <w:r>
        <w:t xml:space="preserve">(Meta/Google): after domain warmup finishes.</w:t>
      </w:r>
    </w:p>
    <w:p>
      <w:pPr>
        <w:pStyle w:val="Compact"/>
        <w:numPr>
          <w:ilvl w:val="0"/>
          <w:numId w:val="1086"/>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7"/>
        </w:numPr>
      </w:pPr>
      <w:r>
        <w:rPr>
          <w:b/>
          <w:bCs/>
        </w:rPr>
        <w:t xml:space="preserve">Form embeds:</w:t>
      </w:r>
      <w:r>
        <w:t xml:space="preserve"> </w:t>
      </w:r>
      <w:r>
        <w:t xml:space="preserve">Commercial Inquiry + Partner Application forms onto go.enyrgy.com (developer).</w:t>
      </w:r>
    </w:p>
    <w:p>
      <w:pPr>
        <w:pStyle w:val="Compact"/>
        <w:numPr>
          <w:ilvl w:val="0"/>
          <w:numId w:val="1088"/>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89"/>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0"/>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1"/>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1"/>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1"/>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1"/>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2"/>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3"/>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4"/>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5"/>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096"/>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097"/>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098"/>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099"/>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0"/>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1"/>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2"/>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1"/>
  </w:num>
  <w:num w:numId="1074">
    <w:abstractNumId w:val="991"/>
  </w:num>
  <w:num w:numId="1075">
    <w:abstractNumId w:val="992"/>
  </w:num>
  <w:num w:numId="1076">
    <w:abstractNumId w:val="992"/>
  </w:num>
  <w:num w:numId="1077">
    <w:abstractNumId w:val="992"/>
  </w:num>
  <w:num w:numId="1078">
    <w:abstractNumId w:val="992"/>
  </w:num>
  <w:num w:numId="1079">
    <w:abstractNumId w:val="992"/>
  </w:num>
  <w:num w:numId="1080">
    <w:abstractNumId w:val="993"/>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3"/>
  </w:num>
  <w:num w:numId="1090">
    <w:abstractNumId w:val="993"/>
  </w:num>
  <w:num w:numId="1091">
    <w:abstractNumId w:val="991"/>
  </w:num>
  <w:num w:numId="1092">
    <w:abstractNumId w:val="993"/>
  </w:num>
  <w:num w:numId="1093">
    <w:abstractNumId w:val="993"/>
  </w:num>
  <w:num w:numId="1094">
    <w:abstractNumId w:val="992"/>
  </w:num>
  <w:num w:numId="1095">
    <w:abstractNumId w:val="993"/>
  </w:num>
  <w:num w:numId="1096">
    <w:abstractNumId w:val="993"/>
  </w:num>
  <w:num w:numId="1097">
    <w:abstractNumId w:val="993"/>
  </w:num>
  <w:num w:numId="1098">
    <w:abstractNumId w:val="993"/>
  </w:num>
  <w:num w:numId="1099">
    <w:abstractNumId w:val="993"/>
  </w:num>
  <w:num w:numId="1100">
    <w:abstractNumId w:val="993"/>
  </w:num>
  <w:num w:numId="1101">
    <w:abstractNumId w:val="992"/>
  </w:num>
  <w:num w:numId="11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2026-08-07T16:34:32Z</dcterms:created>
  <dcterms:modified xsi:type="dcterms:W3CDTF">2026-08-07T16:34:32Z</dcterms:modified>
</cp:coreProperties>
</file>

<file path=docProps/custom.xml><?xml version="1.0" encoding="utf-8"?>
<Properties xmlns="http://schemas.openxmlformats.org/officeDocument/2006/custom-properties" xmlns:vt="http://schemas.openxmlformats.org/officeDocument/2006/docPropsVTypes"/>
</file>