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w:t>
      </w:r>
      <w:r>
        <w:t xml:space="preserve"> </w:t>
      </w:r>
      <w:r>
        <w:rPr>
          <w:b/>
          <w:bCs/>
        </w:rPr>
        <w:t xml:space="preserve">August 4, 2026 (end of Session 16)</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w:t>
      </w:r>
      <w:r>
        <w:t xml:space="preserve"> </w:t>
      </w:r>
      <w:r>
        <w:t xml:space="preserve">WF-01’s Device User Check condition is now, after a third pass on Aug 7:</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r>
        <w:br/>
      </w:r>
      <w:r>
        <w:rPr>
          <w:rStyle w:val="VerbatimChar"/>
        </w:rPr>
        <w:t xml:space="preserve">  AND Email is not empty</w:t>
      </w:r>
    </w:p>
    <w:p>
      <w:pPr>
        <w:pStyle w:val="FirstParagraph"/>
      </w:pPr>
      <w:r>
        <w:rPr>
          <w:b/>
          <w:bCs/>
        </w:rPr>
        <w:t xml:space="preserve">The fourth clause was added Aug 7 after inbound spam calls did the same thing email had done.</w:t>
      </w:r>
      <w:r>
        <w:t xml:space="preserve"> </w:t>
      </w:r>
      <w:r>
        <w:t xml:space="preserve">GHL creates a contact for every inbound call, WF-01 routed them to</w:t>
      </w:r>
      <w:r>
        <w:t xml:space="preserve"> </w:t>
      </w:r>
      <w:r>
        <w:rPr>
          <w:rStyle w:val="VerbatimChar"/>
        </w:rPr>
        <w:t xml:space="preserve">Default Consumer</w:t>
      </w:r>
      <w:r>
        <w:t xml:space="preserve">, and four robocalls became four consumer leads with four Opportunities. Routing an email-less contact accomplishes nothing anyway: the Consumer Drip cannot send without an email, and WF-02’s SMS gate blocks the text without consent. Verified by the inverse of the Aug 4 test, a phone-only contact that previously came back tagged</w:t>
      </w:r>
      <w:r>
        <w:t xml:space="preserve"> </w:t>
      </w:r>
      <w:r>
        <w:rPr>
          <w:rStyle w:val="VerbatimChar"/>
        </w:rPr>
        <w:t xml:space="preserve">type_consumer</w:t>
      </w:r>
      <w:r>
        <w:t xml:space="preserve"> </w:t>
      </w:r>
      <w:r>
        <w:t xml:space="preserve">now receives no tags at all.</w:t>
      </w:r>
    </w:p>
    <w:p>
      <w:pPr>
        <w:pStyle w:val="BodyText"/>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campaigns/ (directory)</w:t>
            </w:r>
          </w:p>
        </w:tc>
        <w:tc>
          <w:tcPr/>
          <w:p>
            <w:pPr>
              <w:pStyle w:val="Compact"/>
            </w:pPr>
            <w:r>
              <w:t xml:space="preserve">Session 16, Aug 3</w:t>
            </w:r>
          </w:p>
        </w:tc>
        <w:tc>
          <w:tcPr/>
          <w:p>
            <w:pPr>
              <w:pStyle w:val="Compact"/>
            </w:pPr>
            <w:r>
              <w:t xml:space="preserve">.md + .docx per workflow</w:t>
            </w:r>
          </w:p>
        </w:tc>
        <w:tc>
          <w:tcPr/>
          <w:p>
            <w:pPr>
              <w:pStyle w:val="Compact"/>
            </w:pPr>
            <w:r>
              <w:rPr>
                <w:b/>
                <w:bCs/>
              </w:rPr>
              <w:t xml:space="preserve">All 19 workflows, 94 touches, 83 corrections.</w:t>
            </w:r>
            <w:r>
              <w:t xml:space="preserve"> </w:t>
            </w:r>
            <w:r>
              <w:t xml:space="preserve">Every live email and SMS in GHL, with a per-workflow change log recording what was corrected and why. Plus</w:t>
            </w:r>
            <w:r>
              <w:t xml:space="preserve"> </w:t>
            </w:r>
            <w:r>
              <w:rPr>
                <w:rStyle w:val="VerbatimChar"/>
              </w:rPr>
              <w:t xml:space="preserve">_INDEX</w:t>
            </w:r>
            <w:r>
              <w:t xml:space="preserve">,</w:t>
            </w:r>
            <w:r>
              <w:t xml:space="preserve"> </w:t>
            </w:r>
            <w:r>
              <w:rPr>
                <w:rStyle w:val="VerbatimChar"/>
              </w:rPr>
              <w:t xml:space="preserve">_LINKS</w:t>
            </w:r>
            <w:r>
              <w:t xml:space="preserve"> </w:t>
            </w:r>
            <w:r>
              <w:t xml:space="preserve">(canonical booking/form URLs),</w:t>
            </w:r>
            <w:r>
              <w:t xml:space="preserve"> </w:t>
            </w:r>
            <w:r>
              <w:rPr>
                <w:rStyle w:val="VerbatimChar"/>
              </w:rPr>
              <w:t xml:space="preserve">_TEMPLATE</w:t>
            </w:r>
            <w:r>
              <w:t xml:space="preserve"> </w:t>
            </w:r>
            <w:r>
              <w:t xml:space="preserve">and</w:t>
            </w:r>
            <w:r>
              <w:t xml:space="preserve"> </w:t>
            </w:r>
            <w:r>
              <w:rPr>
                <w:rStyle w:val="VerbatimChar"/>
              </w:rPr>
              <w:t xml:space="preserve">README</w:t>
            </w:r>
            <w:r>
              <w:t xml:space="preserve">. GHL is the source of truth: change GHL first, then the file. Created because Standing Rule 9 did not exist when this copy was written.</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at repo commit</w:t>
            </w:r>
            <w:r>
              <w:rPr>
                <w:b/>
                <w:bCs/>
              </w:rPr>
              <w:t xml:space="preserve"> </w:t>
            </w:r>
            <w:r>
              <w:rPr>
                <w:rStyle w:val="VerbatimChar"/>
                <w:b/>
                <w:bCs/>
              </w:rPr>
              <w:t xml:space="preserve">42090226</w:t>
            </w:r>
            <w:r>
              <w:rPr>
                <w:b/>
                <w:bCs/>
              </w:rPr>
              <w:t xml:space="preserve">. DRIFTED SINCE:</w:t>
            </w:r>
            <w:r>
              <w:t xml:space="preserve"> </w:t>
            </w:r>
            <w:r>
              <w:t xml:space="preserve">KB Section 11 changed on Aug 4, removing the sentence</w:t>
            </w:r>
            <w:r>
              <w:t xml:space="preserve"> </w:t>
            </w:r>
            <w:r>
              <w:t xml:space="preserve">“Review all client-facing content against the January 2026 FDA Guidelines for Wellness Products before use.”</w:t>
            </w:r>
            <w:r>
              <w:t xml:space="preserve"> </w:t>
            </w:r>
            <w:r>
              <w:t xml:space="preserve">Removed on Scott’s decision because it instructed a check no agent could perform, against a guidance whose own scope test (decision-tree question A3, radiation exposure) appears to exclude UV-emitting devices. See TODO 4f.</w:t>
            </w:r>
            <w:r>
              <w:t xml:space="preserve"> </w:t>
            </w:r>
            <w:r>
              <w:rPr>
                <w:b/>
                <w:bCs/>
              </w:rPr>
              <w:t xml:space="preserve">One-line edit to re-sync: delete that sentence from Section 11 in Skill Studio.</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16, Aug 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2026-08-07T16:34:32Z</dcterms:created>
  <dcterms:modified xsi:type="dcterms:W3CDTF">2026-08-07T16:34:32Z</dcterms:modified>
</cp:coreProperties>
</file>

<file path=docProps/custom.xml><?xml version="1.0" encoding="utf-8"?>
<Properties xmlns="http://schemas.openxmlformats.org/officeDocument/2006/custom-properties" xmlns:vt="http://schemas.openxmlformats.org/officeDocument/2006/docPropsVTypes"/>
</file>