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f-26-testimonial-received"/>
    <w:p>
      <w:pPr>
        <w:pStyle w:val="Heading1"/>
      </w:pPr>
      <w:r>
        <w:t xml:space="preserve">WF-26 Testimonial Received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Form Submitted, Customer Testimonial Form (</w:t>
      </w:r>
      <w:r>
        <w:rPr>
          <w:rStyle w:val="VerbatimChar"/>
        </w:rPr>
        <w:t xml:space="preserve">OjahkWeVDeozQkfG9dW2</w:t>
      </w:r>
      <w:r>
        <w:t xml:space="preserve">)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testimonial_submitted</w:t>
      </w:r>
      <w:r>
        <w:t xml:space="preserve">, adds</w:t>
      </w:r>
      <w:r>
        <w:t xml:space="preserve"> </w:t>
      </w:r>
      <w:r>
        <w:rPr>
          <w:rStyle w:val="VerbatimChar"/>
        </w:rPr>
        <w:t xml:space="preserve">gift_card_pending</w:t>
      </w:r>
      <w:r>
        <w:t xml:space="preserve">, sends an internal notification to</w:t>
      </w:r>
      <w:r>
        <w:t xml:space="preserve"> </w:t>
      </w:r>
      <w:r>
        <w:rPr>
          <w:rStyle w:val="VerbatimChar"/>
        </w:rPr>
        <w:t xml:space="preserve">scott@enyrgy.com</w:t>
      </w:r>
      <w:r>
        <w:t xml:space="preserve">, sends the thank-you email</w:t>
      </w:r>
      <w:r>
        <w:t xml:space="preserve"> </w:t>
      </w:r>
      <w:r>
        <w:rPr>
          <w:b/>
          <w:bCs/>
        </w:rPr>
        <w:t xml:space="preserve">Allow Re-Entry:</w:t>
      </w:r>
      <w:r>
        <w:t xml:space="preserve"> </w:t>
      </w:r>
      <w:r>
        <w:t xml:space="preserve">Off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2026-08-03, complete, with one correction applied.</w:t>
      </w:r>
    </w:p>
    <w:p>
      <w:pPr>
        <w:pStyle w:val="BodyText"/>
      </w:pPr>
      <w:r>
        <w:rPr>
          <w:b/>
          <w:bCs/>
        </w:rPr>
        <w:t xml:space="preserve">Pairs with WF-25.</w:t>
      </w:r>
      <w:r>
        <w:t xml:space="preserve"> </w:t>
      </w:r>
      <w:r>
        <w:t xml:space="preserve">WF-25 makes the ask, this handles the response.</w:t>
      </w:r>
    </w:p>
    <w:p>
      <w:r>
        <w:pict>
          <v:rect style="width:0;height:1.5pt" o:hralign="center" o:hrstd="t" o:hr="t"/>
        </w:pict>
      </w:r>
    </w:p>
    <w:bookmarkStart w:id="9" w:name="touch-1-email-to-the-customer"/>
    <w:p>
      <w:pPr>
        <w:pStyle w:val="Heading2"/>
      </w:pPr>
      <w:r>
        <w:t xml:space="preserve">Touch 1 | Email, to the customer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Got it, and thank you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{{contact.first_name}},</w:t>
      </w:r>
      <w:r>
        <w:br/>
      </w:r>
      <w:r>
        <w:br/>
      </w:r>
      <w:r>
        <w:rPr>
          <w:rStyle w:val="VerbatimChar"/>
        </w:rPr>
        <w:t xml:space="preserve">Got it, and thank you.</w:t>
      </w:r>
      <w:r>
        <w:br/>
      </w:r>
      <w:r>
        <w:br/>
      </w:r>
      <w:r>
        <w:rPr>
          <w:rStyle w:val="VerbatimChar"/>
        </w:rPr>
        <w:t xml:space="preserve">It means a lot that you took the time. Your honest take is exactly what helps the next person on the fence stop guessing and decide for themselves.</w:t>
      </w:r>
      <w:r>
        <w:br/>
      </w:r>
      <w:r>
        <w:br/>
      </w:r>
      <w:r>
        <w:rPr>
          <w:rStyle w:val="VerbatimChar"/>
        </w:rPr>
        <w:t xml:space="preserve">Your gift card will follow within a week.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CORRECTED Aug 3.</w:t>
      </w:r>
      <w:r>
        <w:t xml:space="preserve"> </w:t>
      </w:r>
      <w:r>
        <w:t xml:space="preserve">Was</w:t>
      </w:r>
      <w:r>
        <w:t xml:space="preserve"> </w:t>
      </w:r>
      <w:r>
        <w:t xml:space="preserve">“Your gift card is on its way.”</w:t>
      </w:r>
      <w:r>
        <w:t xml:space="preserve"> </w:t>
      </w:r>
      <w:r>
        <w:t xml:space="preserve">See the change log.</w:t>
      </w:r>
    </w:p>
    <w:p>
      <w:r>
        <w:pict>
          <v:rect style="width:0;height:1.5pt" o:hralign="center" o:hrstd="t" o:hr="t"/>
        </w:pict>
      </w:r>
    </w:p>
    <w:bookmarkEnd w:id="9"/>
    <w:bookmarkStart w:id="10" w:name="internal-notification-to-scottenyrgy.com"/>
    <w:p>
      <w:pPr>
        <w:pStyle w:val="Heading2"/>
      </w:pPr>
      <w:r>
        <w:t xml:space="preserve">Internal Notification, to scott@enyrgy.com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New testimonial from {{contact.first_name}} {{contact.last_name}}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{{contact.first_name}} {{contact.last_name}} just submitted the testimonial form. Email: {{contact.email}}. Open their contact record or the form submission to view the video or written note, then send their gift card.</w:t>
      </w:r>
    </w:p>
    <w:p>
      <w:pPr>
        <w:pStyle w:val="FirstParagraph"/>
      </w:pPr>
      <w:r>
        <w:rPr>
          <w:b/>
          <w:bCs/>
        </w:rPr>
        <w:t xml:space="preserve">This is the notification that could not be located on 2026-08-02</w:t>
      </w:r>
      <w:r>
        <w:t xml:space="preserve">, when a cryptic message about a testimonial arrived and there was no record anywhere of what its subject line said. Recorded here now. Searching an inbox for</w:t>
      </w:r>
      <w:r>
        <w:t xml:space="preserve"> </w:t>
      </w:r>
      <w:r>
        <w:t xml:space="preserve">“New testimonial from”</w:t>
      </w:r>
      <w:r>
        <w:t xml:space="preserve"> </w:t>
      </w:r>
      <w:r>
        <w:t xml:space="preserve">will find them.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change-log-2026-08-03"/>
    <w:p>
      <w:pPr>
        <w:pStyle w:val="Heading1"/>
      </w:pPr>
      <w:r>
        <w:t xml:space="preserve">Change log, 2026-08-03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Thank-you email</w:t>
            </w:r>
          </w:p>
        </w:tc>
        <w:tc>
          <w:tcPr/>
          <w:p>
            <w:pPr>
              <w:pStyle w:val="Compact"/>
            </w:pPr>
            <w:r>
              <w:t xml:space="preserve">“Your gift card is on its way”</w:t>
            </w:r>
            <w:r>
              <w:t xml:space="preserve"> </w:t>
            </w:r>
            <w:r>
              <w:t xml:space="preserve">became</w:t>
            </w:r>
            <w:r>
              <w:t xml:space="preserve"> </w:t>
            </w:r>
            <w:r>
              <w:t xml:space="preserve">“Your gift card will follow within a week”</w:t>
            </w:r>
          </w:p>
        </w:tc>
      </w:tr>
    </w:tbl>
    <w:bookmarkStart w:id="12" w:name="why-the-gift-card-wording-mattered"/>
    <w:p>
      <w:pPr>
        <w:pStyle w:val="Heading2"/>
      </w:pPr>
      <w:r>
        <w:t xml:space="preserve">Why the gift card wording mattered</w:t>
      </w:r>
    </w:p>
    <w:p>
      <w:pPr>
        <w:pStyle w:val="FirstParagraph"/>
      </w:pPr>
      <w:r>
        <w:rPr>
          <w:rStyle w:val="VerbatimChar"/>
        </w:rPr>
        <w:t xml:space="preserve">gift_card_pending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manual fulfillment queue</w:t>
      </w:r>
      <w:r>
        <w:t xml:space="preserve">, and the Master TODO still lists working that queue weekly as an open item rather than an established routine.</w:t>
      </w:r>
    </w:p>
    <w:p>
      <w:pPr>
        <w:pStyle w:val="BodyText"/>
      </w:pPr>
      <w:r>
        <w:t xml:space="preserve">“On its way”</w:t>
      </w:r>
      <w:r>
        <w:t xml:space="preserve"> </w:t>
      </w:r>
      <w:r>
        <w:t xml:space="preserve">told a customer their gift card had already been sent. In practice it sits in a queue until someone runs it. Someone submitting on a Monday would watch for a card that had not been sent, and if the weekly run had not been happening, would still be waiting.</w:t>
      </w:r>
    </w:p>
    <w:p>
      <w:pPr>
        <w:pStyle w:val="BodyText"/>
      </w:pPr>
      <w:r>
        <w:t xml:space="preserve">That lands on the customers who liked the product enough to record a video, which is the worst possible group to leave holding an unmet promise.</w:t>
      </w:r>
    </w:p>
    <w:p>
      <w:pPr>
        <w:pStyle w:val="BodyText"/>
      </w:pPr>
      <w:r>
        <w:t xml:space="preserve">“Within a week”</w:t>
      </w:r>
      <w:r>
        <w:t xml:space="preserve"> </w:t>
      </w:r>
      <w:r>
        <w:t xml:space="preserve">is a commitment the process can actually meet, and it stops them looking on day one.</w:t>
      </w:r>
    </w:p>
    <w:p>
      <w:pPr>
        <w:pStyle w:val="BodyText"/>
      </w:pPr>
      <w:r>
        <w:rPr>
          <w:b/>
          <w:bCs/>
        </w:rPr>
        <w:t xml:space="preserve">Still worth confirming: is the weekly fulfillment running?</w:t>
      </w:r>
      <w:r>
        <w:t xml:space="preserve"> </w:t>
      </w:r>
      <w:r>
        <w:t xml:space="preserve">If it has lapsed, there may be people already holding the old promise.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fb413314e7939189c58a6104e690ac3e009dd88"/>
    <w:p>
      <w:pPr>
        <w:pStyle w:val="Heading1"/>
      </w:pPr>
      <w:r>
        <w:t xml:space="preserve">Two structural gaps, neither fixable in the copy</w:t>
      </w:r>
    </w:p>
    <w:bookmarkStart w:id="14" w:name="Xa2d835d9fea3ea7033a7e99fc903707ce885b10"/>
    <w:p>
      <w:pPr>
        <w:pStyle w:val="Heading2"/>
      </w:pPr>
      <w:r>
        <w:t xml:space="preserve">1. The email-reply path never fires this workflow</w:t>
      </w:r>
    </w:p>
    <w:p>
      <w:pPr>
        <w:pStyle w:val="FirstParagraph"/>
      </w:pPr>
      <w:r>
        <w:t xml:space="preserve">WF-25 explicitly invites a reply instead of a form submission, twice in both branches:</w:t>
      </w:r>
    </w:p>
    <w:p>
      <w:pPr>
        <w:pStyle w:val="BlockText"/>
      </w:pPr>
      <w:r>
        <w:t xml:space="preserve">To send a video, reply with it or drop it here if it is large</w:t>
      </w:r>
      <w:r>
        <w:t xml:space="preserve"> </w:t>
      </w:r>
      <w:r>
        <w:t xml:space="preserve">To send a written note, just hit reply. Whatever is easiest.</w:t>
      </w:r>
    </w:p>
    <w:p>
      <w:pPr>
        <w:pStyle w:val="FirstParagraph"/>
      </w:pPr>
      <w:r>
        <w:t xml:space="preserve">WF-26 triggers on</w:t>
      </w:r>
      <w:r>
        <w:t xml:space="preserve"> </w:t>
      </w:r>
      <w:r>
        <w:rPr>
          <w:b/>
          <w:bCs/>
        </w:rPr>
        <w:t xml:space="preserve">Form Submitted</w:t>
      </w:r>
      <w:r>
        <w:t xml:space="preserve">. A testimonial arriving by reply therefore fires nothing: no</w:t>
      </w:r>
      <w:r>
        <w:t xml:space="preserve"> </w:t>
      </w:r>
      <w:r>
        <w:rPr>
          <w:rStyle w:val="VerbatimChar"/>
        </w:rPr>
        <w:t xml:space="preserve">testimonial_submitted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gift_card_pending</w:t>
      </w:r>
      <w:r>
        <w:t xml:space="preserve">, no internal notification, no thank-you, and no gift card.</w:t>
      </w:r>
    </w:p>
    <w:p>
      <w:pPr>
        <w:pStyle w:val="BodyText"/>
      </w:pPr>
      <w:r>
        <w:t xml:space="preserve">The customer sends a video, hears nothing, and is never paid the thing they were promised. From their side that is indistinguishable from being ignored.</w:t>
      </w:r>
    </w:p>
    <w:p>
      <w:pPr>
        <w:pStyle w:val="BodyText"/>
      </w:pPr>
      <w:r>
        <w:t xml:space="preserve">This is not hypothetical. It is the same gap that made a testimonial impossible to locate on 2026-08-02, before that turned out to be a text message about an intention rather than a submission.</w:t>
      </w:r>
    </w:p>
    <w:p>
      <w:pPr>
        <w:pStyle w:val="BodyText"/>
      </w:pPr>
      <w:r>
        <w:rPr>
          <w:b/>
          <w:bCs/>
        </w:rPr>
        <w:t xml:space="preserve">Anything arriving by reply has to be tagged by hand</w:t>
      </w:r>
      <w:r>
        <w:t xml:space="preserve"> </w:t>
      </w:r>
      <w:r>
        <w:t xml:space="preserve">to enter the queue. Nothing in the system will prompt it.</w:t>
      </w:r>
    </w:p>
    <w:bookmarkEnd w:id="14"/>
    <w:bookmarkStart w:id="15" w:name="X09f499add930b52682e33783aeb6df31c92606c"/>
    <w:p>
      <w:pPr>
        <w:pStyle w:val="Heading2"/>
      </w:pPr>
      <w:r>
        <w:t xml:space="preserve">2. Consent is captured on the form, not on the reply path</w:t>
      </w:r>
    </w:p>
    <w:p>
      <w:pPr>
        <w:pStyle w:val="FirstParagraph"/>
      </w:pPr>
      <w:r>
        <w:t xml:space="preserve">The Customer Testimonial Form carries the marketing-permission consent, so form submissions have a consent record.</w:t>
      </w:r>
    </w:p>
    <w:p>
      <w:pPr>
        <w:pStyle w:val="BodyText"/>
      </w:pPr>
      <w:r>
        <w:t xml:space="preserve">Replies do not. WF-25 asks for permission in prose, so a reply may or may not contain it, and nothing captures it either way. Publishing a reply-path testimonial means going back to the message and checking what the person actually agreed to.</w:t>
      </w:r>
    </w:p>
    <w:bookmarkEnd w:id="15"/>
    <w:bookmarkStart w:id="16" w:name="Xd71cc8ccf37eed076824e74a75fc2fc8d067f3e"/>
    <w:p>
      <w:pPr>
        <w:pStyle w:val="Heading2"/>
      </w:pPr>
      <w:r>
        <w:t xml:space="preserve">3. Two FTC obligations sit downstream of this workflow</w:t>
      </w:r>
    </w:p>
    <w:p>
      <w:pPr>
        <w:pStyle w:val="FirstParagraph"/>
      </w:pPr>
      <w:r>
        <w:t xml:space="preserve">Recorded in the Session 14 audit and still live. Neither is a copy problem, and neither is prompted anywhere in the system:</w:t>
      </w:r>
    </w:p>
    <w:p>
      <w:pPr>
        <w:pStyle w:val="BodyText"/>
      </w:pPr>
      <w:r>
        <w:rPr>
          <w:b/>
          <w:bCs/>
        </w:rPr>
        <w:t xml:space="preserve">Disclose the material connection when publishing.</w:t>
      </w:r>
      <w:r>
        <w:t xml:space="preserve"> </w:t>
      </w:r>
      <w:r>
        <w:t xml:space="preserve">The gift card creates one.</w:t>
      </w:r>
    </w:p>
    <w:p>
      <w:pPr>
        <w:pStyle w:val="BodyText"/>
      </w:pPr>
      <w:r>
        <w:rPr>
          <w:b/>
          <w:bCs/>
        </w:rPr>
        <w:t xml:space="preserve">Typicality-screen consumer health testimonials.</w:t>
      </w:r>
      <w:r>
        <w:t xml:space="preserve"> </w:t>
      </w:r>
      <w:r>
        <w:t xml:space="preserve">An unusual result needs context or exclusion, because a reader takes it as representative.</w:t>
      </w:r>
    </w:p>
    <w:p>
      <w:pPr>
        <w:pStyle w:val="BodyText"/>
      </w:pPr>
      <w:r>
        <w:t xml:space="preserve">Both depend on whoever works the</w:t>
      </w:r>
      <w:r>
        <w:t xml:space="preserve"> </w:t>
      </w:r>
      <w:r>
        <w:rPr>
          <w:rStyle w:val="VerbatimChar"/>
        </w:rPr>
        <w:t xml:space="preserve">gift_card_pending</w:t>
      </w:r>
      <w:r>
        <w:t xml:space="preserve"> </w:t>
      </w:r>
      <w:r>
        <w:t xml:space="preserve">queue knowing they exist. Today that is one person, from memory.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2026-08-03T14:56:46Z</dcterms:created>
  <dcterms:modified xsi:type="dcterms:W3CDTF">2026-08-03T14:56:46Z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