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p>
      <w:pPr>
        <w:pStyle w:val="FirstParagraph"/>
      </w:pPr>
      <w:r>
        <w:t xml:space="preserve">The body makes its own Vitamin D from a two to four minute session of the right light, the same amount that would take two to four hours in mid day sun, without the burn or the aging. One session opens three pathways at once: Vitamin D, nitric oxide, and serotonin. The app reads each person’s skin type, sets the dose, and ends the session on its own, so no one is watching a clock.</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below</w:t>
            </w:r>
          </w:p>
        </w:tc>
      </w:tr>
    </w:tbl>
    <w:bookmarkStart w:id="19" w:name="the-technology"/>
    <w:p>
      <w:pPr>
        <w:pStyle w:val="Heading2"/>
      </w:pPr>
      <w:r>
        <w:t xml:space="preserve">The technology</w:t>
      </w:r>
    </w:p>
    <w:p>
      <w:pPr>
        <w:pStyle w:val="FirstParagraph"/>
      </w:pPr>
      <w:r>
        <w:rPr>
          <w:b/>
          <w:bCs/>
        </w:rPr>
        <w:t xml:space="preserve">Enyrgy inverts the spectrum.</w:t>
      </w:r>
      <w:r>
        <w:t xml:space="preserve"> </w:t>
      </w:r>
      <w:r>
        <w:t xml:space="preserve">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pPr>
        <w:pStyle w:val="BodyText"/>
      </w:pPr>
      <w:r>
        <w:rPr>
          <w:b/>
          <w:bCs/>
        </w:rPr>
        <w:t xml:space="preserve">The dose is calculated, not timed.</w:t>
      </w:r>
      <w:r>
        <w:t xml:space="preserve"> </w:t>
      </w:r>
      <w:r>
        <w:t xml:space="preserve">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pPr>
        <w:pStyle w:val="BodyText"/>
      </w:pPr>
      <w:r>
        <w:rPr>
          <w:b/>
          <w:bCs/>
        </w:rPr>
        <w:t xml:space="preserve">One session, three pathways.</w:t>
      </w:r>
      <w:r>
        <w:t xml:space="preserve"> </w:t>
      </w:r>
      <w:r>
        <w:t xml:space="preserve">Vitamin D, nitric oxide, and serotonin. A capsule opens one of them.</w:t>
      </w:r>
    </w:p>
    <w:bookmarkEnd w:id="19"/>
    <w:bookmarkStart w:id="20" w:name="why-not-a-capsule"/>
    <w:p>
      <w:pPr>
        <w:pStyle w:val="Heading2"/>
      </w:pPr>
      <w:r>
        <w:t xml:space="preserve">Why not a capsule</w:t>
      </w:r>
    </w:p>
    <w:p>
      <w:pPr>
        <w:pStyle w:val="FirstParagraph"/>
      </w:pPr>
      <w:r>
        <w:t xml:space="preserve">Where supplements sit on your shelf, they are one lane. In research clinical trials, about one in four participants were low responders to Vitamin D supplementation, so a capsule does not reliably move the number for everyone.</w:t>
      </w:r>
    </w:p>
    <w:p>
      <w:pPr>
        <w:pStyle w:val="BodyText"/>
      </w:pPr>
      <w:r>
        <w:t xml:space="preserve">This does, and your own blood work is the proof. That is the practical distinction: a supplement is a hope, a session plus a lab draw is a measurement.</w:t>
      </w:r>
    </w:p>
    <w:bookmarkEnd w:id="20"/>
    <w:bookmarkStart w:id="21"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w:t>
      </w:r>
    </w:p>
    <w:p>
      <w:pPr>
        <w:pStyle w:val="BodyText"/>
      </w:pPr>
      <w:r>
        <w:t xml:space="preserve">The study that will matter to you is the one you run in your own patient population, with your own lab.</w:t>
      </w:r>
    </w:p>
    <w:bookmarkEnd w:id="21"/>
    <w:bookmarkStart w:id="22" w:name="the-people-behind-the-protocol"/>
    <w:p>
      <w:pPr>
        <w:pStyle w:val="Heading2"/>
      </w:pPr>
      <w:r>
        <w:t xml:space="preserve">The people behind the protocol</w:t>
      </w:r>
    </w:p>
    <w:p>
      <w:pPr>
        <w:pStyle w:val="FirstParagraph"/>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p>
      <w:pPr>
        <w:pStyle w:val="BodyText"/>
      </w:pPr>
      <w:r>
        <w:t xml:space="preserve">600 plus users across five countries. Made in the USA in Phoenix, Arizona.</w:t>
      </w:r>
    </w:p>
    <w:p>
      <w:r>
        <w:br w:type="page"/>
      </w:r>
    </w:p>
    <w:bookmarkEnd w:id="22"/>
    <w:bookmarkStart w:id="23" w:name="where-it-fits-in-your-service-line"/>
    <w:p>
      <w:pPr>
        <w:pStyle w:val="Heading2"/>
      </w:pPr>
      <w:r>
        <w:t xml:space="preserve">Where it fits in your service line</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rPr>
          <w:b/>
          <w:bCs/>
        </w:rPr>
        <w:t xml:space="preserve">You will not have to create demand for it.</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23"/>
    <w:bookmarkStart w:id="24" w:name="two-revenue-lines-from-one-platform"/>
    <w:p>
      <w:pPr>
        <w:pStyle w:val="Heading2"/>
      </w:pPr>
      <w:r>
        <w:t xml:space="preserve">Two revenue lines from one platform</w:t>
      </w:r>
    </w:p>
    <w:p>
      <w:pPr>
        <w:pStyle w:val="FirstParagraph"/>
      </w:pPr>
      <w:r>
        <w:t xml:space="preserve">In-clinic, patients add it as a modality at $125 a month in your market. It also fits how your patients move through the center: those who are on-site a week and home for two can do sessions with you and take a unit home from your shop to hold their levels between visits.</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In-clinic patients on the modality</w:t>
            </w:r>
          </w:p>
        </w:tc>
        <w:tc>
          <w:tcPr/>
          <w:p>
            <w:pPr>
              <w:pStyle w:val="Compact"/>
            </w:pPr>
            <w:r>
              <w:t xml:space="preserve">Monthly</w:t>
            </w:r>
          </w:p>
        </w:tc>
        <w:tc>
          <w:tcPr/>
          <w:p>
            <w:pPr>
              <w:pStyle w:val="Compact"/>
            </w:pPr>
            <w:r>
              <w:t xml:space="preserve">Annual</w:t>
            </w:r>
          </w:p>
        </w:tc>
      </w:tr>
      <w:tr>
        <w:tc>
          <w:tcPr/>
          <w:p>
            <w:pPr>
              <w:pStyle w:val="Compact"/>
            </w:pPr>
            <w:r>
              <w:t xml:space="preserve">25 patients</w:t>
            </w:r>
          </w:p>
        </w:tc>
        <w:tc>
          <w:tcPr/>
          <w:p>
            <w:pPr>
              <w:pStyle w:val="Compact"/>
            </w:pPr>
            <w:r>
              <w:t xml:space="preserve">$3,125</w:t>
            </w:r>
          </w:p>
        </w:tc>
        <w:tc>
          <w:tcPr/>
          <w:p>
            <w:pPr>
              <w:pStyle w:val="Compact"/>
            </w:pPr>
            <w:r>
              <w:t xml:space="preserve">$37,500</w:t>
            </w:r>
          </w:p>
        </w:tc>
      </w:tr>
      <w:tr>
        <w:tc>
          <w:tcPr/>
          <w:p>
            <w:pPr>
              <w:pStyle w:val="Compact"/>
            </w:pPr>
            <w:r>
              <w:t xml:space="preserve">50 patients</w:t>
            </w:r>
          </w:p>
        </w:tc>
        <w:tc>
          <w:tcPr/>
          <w:p>
            <w:pPr>
              <w:pStyle w:val="Compact"/>
            </w:pPr>
            <w:r>
              <w:t xml:space="preserve">$6,250</w:t>
            </w:r>
          </w:p>
        </w:tc>
        <w:tc>
          <w:tcPr/>
          <w:p>
            <w:pPr>
              <w:pStyle w:val="Compact"/>
            </w:pPr>
            <w:r>
              <w:t xml:space="preserve">$75,000</w:t>
            </w:r>
          </w:p>
        </w:tc>
      </w:tr>
      <w:tr>
        <w:tc>
          <w:tcPr/>
          <w:p>
            <w:pPr>
              <w:pStyle w:val="Compact"/>
            </w:pPr>
            <w:r>
              <w:t xml:space="preserve">100 patients</w:t>
            </w:r>
          </w:p>
        </w:tc>
        <w:tc>
          <w:tcPr/>
          <w:p>
            <w:pPr>
              <w:pStyle w:val="Compact"/>
            </w:pPr>
            <w:r>
              <w:t xml:space="preserve">$12,500</w:t>
            </w:r>
          </w:p>
        </w:tc>
        <w:tc>
          <w:tcPr/>
          <w:p>
            <w:pPr>
              <w:pStyle w:val="Compact"/>
            </w:pPr>
            <w:r>
              <w:t xml:space="preserve">$150,000</w:t>
            </w:r>
          </w:p>
        </w:tc>
      </w:tr>
    </w:tbl>
    <w:p>
      <w:pPr>
        <w:pStyle w:val="BodyText"/>
      </w:pPr>
      <w:r>
        <w:t xml:space="preserve">The commercial unit is</w:t>
      </w:r>
      <w:r>
        <w:t xml:space="preserve"> </w:t>
      </w:r>
      <w:r>
        <w:rPr>
          <w:b/>
          <w:bCs/>
        </w:rPr>
        <w:t xml:space="preserve">$8,950</w:t>
      </w:r>
      <w:r>
        <w:t xml:space="preserve">, with payback in under three months at just 25 patients on the modality.</w:t>
      </w:r>
    </w:p>
    <w:p>
      <w:pPr>
        <w:pStyle w:val="BodyText"/>
      </w:pPr>
      <w:r>
        <w:rPr>
          <w:b/>
          <w:bCs/>
        </w:rPr>
        <w:t xml:space="preserve">Footprint.</w:t>
      </w:r>
      <w:r>
        <w:t xml:space="preserve"> </w:t>
      </w:r>
      <w:r>
        <w:t xml:space="preserve">Roughly four feet by four feet. It does not need a dedicated room; most facilities site it in a hallway or an alcove where a patient can take a session while waiting on another modality.</w:t>
      </w:r>
    </w:p>
    <w:p>
      <w:pPr>
        <w:pStyle w:val="BodyText"/>
      </w:pPr>
      <w:r>
        <w:rPr>
          <w:b/>
          <w:bCs/>
        </w:rPr>
        <w:t xml:space="preserve">The second line.</w:t>
      </w:r>
      <w:r>
        <w:t xml:space="preserve"> </w:t>
      </w:r>
      <w:r>
        <w:t xml:space="preserve">Take-home units add about $600 per device to your shop, a margin line on top of the in-clinic recurring revenue.</w:t>
      </w:r>
    </w:p>
    <w:bookmarkEnd w:id="24"/>
    <w:bookmarkStart w:id="25"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belongs to your care team.</w:t>
      </w:r>
    </w:p>
    <w:p>
      <w:pPr>
        <w:pStyle w:val="BodyText"/>
      </w:pPr>
      <w:r>
        <w:t xml:space="preserve">The study above is our own and it is small. We present it with its size attached rather than as a finding. Independent, peer reviewed research on Vitamin D status is in the companion reading list, presented as published and including mixed findings, for your clinicians to weigh on their own terms.</w:t>
      </w:r>
    </w:p>
    <w:bookmarkEnd w:id="25"/>
    <w:bookmarkStart w:id="26"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26"/>
    <w:bookmarkEnd w:id="27"/>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v1.1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2026-08-27T21:17:04Z</dcterms:created>
  <dcterms:modified xsi:type="dcterms:W3CDTF">2026-08-27T21:17:04Z</dcterms:modified>
</cp:coreProperties>
</file>

<file path=docProps/custom.xml><?xml version="1.0" encoding="utf-8"?>
<Properties xmlns="http://schemas.openxmlformats.org/officeDocument/2006/custom-properties" xmlns:vt="http://schemas.openxmlformats.org/officeDocument/2006/docPropsVTypes"/>
</file>